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9E2D6" w14:textId="3CE7366E" w:rsidR="00B2191F" w:rsidRDefault="00B2191F" w:rsidP="00B2191F">
      <w:pPr>
        <w:keepNext/>
        <w:keepLines/>
        <w:spacing w:before="160" w:after="80"/>
        <w:jc w:val="both"/>
        <w:outlineLvl w:val="1"/>
        <w:rPr>
          <w:rFonts w:ascii="Gill Sans Nova" w:eastAsia="Times New Roman" w:hAnsi="Gill Sans Nova" w:cs="Times New Roman"/>
          <w:color w:val="0081FB"/>
          <w:sz w:val="32"/>
          <w:szCs w:val="32"/>
        </w:rPr>
      </w:pPr>
      <w:r>
        <w:rPr>
          <w:rFonts w:ascii="Gill Sans Nova" w:eastAsia="Times New Roman" w:hAnsi="Gill Sans Nova" w:cs="Times New Roman"/>
          <w:color w:val="0081FB"/>
          <w:sz w:val="32"/>
          <w:szCs w:val="32"/>
        </w:rPr>
        <w:t xml:space="preserve">Podsumowanie </w:t>
      </w:r>
      <w:r w:rsidR="0002383B">
        <w:rPr>
          <w:rFonts w:ascii="Gill Sans Nova" w:eastAsia="Times New Roman" w:hAnsi="Gill Sans Nova" w:cs="Times New Roman"/>
          <w:color w:val="0081FB"/>
          <w:sz w:val="32"/>
          <w:szCs w:val="32"/>
        </w:rPr>
        <w:t xml:space="preserve">wniosków z prac grup roboczych w trakcie </w:t>
      </w:r>
      <w:r>
        <w:rPr>
          <w:rFonts w:ascii="Gill Sans Nova" w:eastAsia="Times New Roman" w:hAnsi="Gill Sans Nova" w:cs="Times New Roman"/>
          <w:color w:val="0081FB"/>
          <w:sz w:val="32"/>
          <w:szCs w:val="32"/>
        </w:rPr>
        <w:t xml:space="preserve">warsztatów </w:t>
      </w:r>
      <w:r w:rsidR="0002383B">
        <w:rPr>
          <w:rFonts w:ascii="Gill Sans Nova" w:eastAsia="Times New Roman" w:hAnsi="Gill Sans Nova" w:cs="Times New Roman"/>
          <w:color w:val="0081FB"/>
          <w:sz w:val="32"/>
          <w:szCs w:val="32"/>
        </w:rPr>
        <w:t xml:space="preserve">Instytutu Reform </w:t>
      </w:r>
      <w:r>
        <w:rPr>
          <w:rFonts w:ascii="Gill Sans Nova" w:eastAsia="Times New Roman" w:hAnsi="Gill Sans Nova" w:cs="Times New Roman"/>
          <w:color w:val="0081FB"/>
          <w:sz w:val="32"/>
          <w:szCs w:val="32"/>
        </w:rPr>
        <w:t xml:space="preserve">dot. </w:t>
      </w:r>
      <w:proofErr w:type="spellStart"/>
      <w:r>
        <w:rPr>
          <w:rFonts w:ascii="Gill Sans Nova" w:eastAsia="Times New Roman" w:hAnsi="Gill Sans Nova" w:cs="Times New Roman"/>
          <w:color w:val="0081FB"/>
          <w:sz w:val="32"/>
          <w:szCs w:val="32"/>
        </w:rPr>
        <w:t>aKPEiK</w:t>
      </w:r>
      <w:proofErr w:type="spellEnd"/>
      <w:r>
        <w:rPr>
          <w:rFonts w:ascii="Gill Sans Nova" w:eastAsia="Times New Roman" w:hAnsi="Gill Sans Nova" w:cs="Times New Roman"/>
          <w:color w:val="0081FB"/>
          <w:sz w:val="32"/>
          <w:szCs w:val="32"/>
        </w:rPr>
        <w:t xml:space="preserve"> z dnia </w:t>
      </w:r>
      <w:r w:rsidR="0002383B">
        <w:rPr>
          <w:rFonts w:ascii="Gill Sans Nova" w:eastAsia="Times New Roman" w:hAnsi="Gill Sans Nova" w:cs="Times New Roman"/>
          <w:color w:val="0081FB"/>
          <w:sz w:val="32"/>
          <w:szCs w:val="32"/>
        </w:rPr>
        <w:t>26.04.2024</w:t>
      </w:r>
    </w:p>
    <w:p w14:paraId="09C1E317" w14:textId="77777777" w:rsidR="00B2191F" w:rsidRDefault="00B2191F" w:rsidP="0002383B"/>
    <w:p w14:paraId="4ED72BBD" w14:textId="62B7EC1C" w:rsidR="00B2191F" w:rsidRPr="00B2191F" w:rsidRDefault="00B2191F" w:rsidP="00B2191F">
      <w:pPr>
        <w:keepNext/>
        <w:keepLines/>
        <w:spacing w:before="160" w:after="80"/>
        <w:jc w:val="both"/>
        <w:outlineLvl w:val="1"/>
        <w:rPr>
          <w:rFonts w:ascii="Gill Sans Nova" w:eastAsia="Times New Roman" w:hAnsi="Gill Sans Nova" w:cs="Times New Roman"/>
          <w:color w:val="0081FB"/>
          <w:sz w:val="32"/>
          <w:szCs w:val="32"/>
        </w:rPr>
      </w:pPr>
      <w:r w:rsidRPr="00B2191F">
        <w:rPr>
          <w:rFonts w:ascii="Gill Sans Nova" w:eastAsia="Times New Roman" w:hAnsi="Gill Sans Nova" w:cs="Times New Roman"/>
          <w:color w:val="0081FB"/>
          <w:sz w:val="32"/>
          <w:szCs w:val="32"/>
        </w:rPr>
        <w:t>Grupa 1: Elektryfikacja i OZE</w:t>
      </w:r>
    </w:p>
    <w:p w14:paraId="527CC65F" w14:textId="77777777" w:rsidR="00B2191F" w:rsidRDefault="00B2191F" w:rsidP="00B2191F">
      <w:pPr>
        <w:pStyle w:val="paragraph"/>
        <w:shd w:val="clear" w:color="auto" w:fill="FFFFFF"/>
        <w:spacing w:before="0" w:beforeAutospacing="0" w:after="0" w:afterAutospacing="0"/>
        <w:jc w:val="both"/>
        <w:textAlignment w:val="baseline"/>
        <w:rPr>
          <w:rStyle w:val="normaltextrun"/>
          <w:rFonts w:asciiTheme="minorHAnsi" w:eastAsiaTheme="majorEastAsia" w:hAnsiTheme="minorHAnsi" w:cs="Segoe UI"/>
          <w:color w:val="222222"/>
          <w:shd w:val="clear" w:color="auto" w:fill="FFFFFF"/>
        </w:rPr>
      </w:pPr>
    </w:p>
    <w:p w14:paraId="03C6ED86" w14:textId="656C764F" w:rsidR="00B2191F" w:rsidRPr="00B2191F" w:rsidRDefault="004552D2" w:rsidP="17A756DD">
      <w:pPr>
        <w:pStyle w:val="paragraph"/>
        <w:shd w:val="clear" w:color="auto" w:fill="FFFFFF" w:themeFill="background1"/>
        <w:spacing w:before="0" w:beforeAutospacing="0" w:after="0" w:afterAutospacing="0"/>
        <w:jc w:val="both"/>
        <w:textAlignment w:val="baseline"/>
        <w:rPr>
          <w:rFonts w:asciiTheme="minorHAnsi" w:hAnsiTheme="minorHAnsi" w:cs="Segoe UI"/>
          <w:color w:val="222222"/>
          <w:sz w:val="18"/>
          <w:szCs w:val="18"/>
        </w:rPr>
      </w:pPr>
      <w:r w:rsidRPr="17A756DD">
        <w:rPr>
          <w:rStyle w:val="normaltextrun"/>
          <w:rFonts w:asciiTheme="minorHAnsi" w:eastAsiaTheme="majorEastAsia" w:hAnsiTheme="minorHAnsi" w:cs="Segoe UI"/>
          <w:color w:val="222222"/>
          <w:shd w:val="clear" w:color="auto" w:fill="FFFFFF"/>
        </w:rPr>
        <w:t xml:space="preserve">Instytut Reform przygotował zestawienie wyzwań w zakresie aspektów elektryfikacji. Uczestnicy uzupełnili podane zestawienie o wyzwania, które powinny ich zdaniem zostać uwzględnione w </w:t>
      </w:r>
      <w:proofErr w:type="spellStart"/>
      <w:r w:rsidRPr="17A756DD">
        <w:rPr>
          <w:rStyle w:val="normaltextrun"/>
          <w:rFonts w:asciiTheme="minorHAnsi" w:eastAsiaTheme="majorEastAsia" w:hAnsiTheme="minorHAnsi" w:cs="Segoe UI"/>
          <w:color w:val="222222"/>
          <w:shd w:val="clear" w:color="auto" w:fill="FFFFFF"/>
        </w:rPr>
        <w:t>KPEiKu</w:t>
      </w:r>
      <w:proofErr w:type="spellEnd"/>
      <w:r w:rsidRPr="17A756DD">
        <w:rPr>
          <w:rStyle w:val="normaltextrun"/>
          <w:rFonts w:asciiTheme="minorHAnsi" w:eastAsiaTheme="majorEastAsia" w:hAnsiTheme="minorHAnsi" w:cs="Segoe UI"/>
          <w:color w:val="222222"/>
          <w:shd w:val="clear" w:color="auto" w:fill="FFFFFF"/>
        </w:rPr>
        <w:t>. Następnie, dysponując trzema głosami, każdy z uczestników wskazywał, które z wyzwań są według niego najbardziej istotne w kontekście</w:t>
      </w:r>
      <w:r w:rsidR="2A2B3D9D" w:rsidRPr="17A756DD">
        <w:rPr>
          <w:rStyle w:val="normaltextrun"/>
          <w:rFonts w:asciiTheme="minorHAnsi" w:eastAsiaTheme="majorEastAsia" w:hAnsiTheme="minorHAnsi" w:cs="Segoe UI"/>
          <w:color w:val="222222"/>
          <w:shd w:val="clear" w:color="auto" w:fill="FFFFFF"/>
        </w:rPr>
        <w:t xml:space="preserve"> różnych</w:t>
      </w:r>
      <w:r w:rsidRPr="17A756DD">
        <w:rPr>
          <w:rStyle w:val="normaltextrun"/>
          <w:rFonts w:asciiTheme="minorHAnsi" w:eastAsiaTheme="majorEastAsia" w:hAnsiTheme="minorHAnsi" w:cs="Segoe UI"/>
          <w:color w:val="222222"/>
          <w:shd w:val="clear" w:color="auto" w:fill="FFFFFF"/>
        </w:rPr>
        <w:t xml:space="preserve"> aspektów transformacji. W ten sposób powstała lista priorytetowych tematów:</w:t>
      </w:r>
      <w:r w:rsidRPr="17A756DD">
        <w:rPr>
          <w:rStyle w:val="eop"/>
          <w:rFonts w:asciiTheme="minorHAnsi" w:eastAsiaTheme="majorEastAsia" w:hAnsiTheme="minorHAnsi" w:cs="Segoe UI"/>
          <w:color w:val="222222"/>
        </w:rPr>
        <w:t> </w:t>
      </w:r>
    </w:p>
    <w:p w14:paraId="0192CE5A" w14:textId="77777777" w:rsidR="00B2191F" w:rsidRPr="00B2191F" w:rsidRDefault="00B2191F" w:rsidP="0002383B">
      <w:pPr>
        <w:pStyle w:val="paragraph"/>
        <w:numPr>
          <w:ilvl w:val="0"/>
          <w:numId w:val="38"/>
        </w:numPr>
        <w:shd w:val="clear" w:color="auto" w:fill="FFFFFF"/>
        <w:spacing w:before="0" w:beforeAutospacing="0" w:after="0" w:afterAutospacing="0"/>
        <w:ind w:left="567"/>
        <w:jc w:val="both"/>
        <w:textAlignment w:val="baseline"/>
        <w:rPr>
          <w:rFonts w:asciiTheme="minorHAnsi" w:hAnsiTheme="minorHAnsi" w:cs="Segoe UI"/>
          <w:color w:val="222222"/>
        </w:rPr>
      </w:pPr>
      <w:r w:rsidRPr="00B2191F">
        <w:rPr>
          <w:rStyle w:val="normaltextrun"/>
          <w:rFonts w:asciiTheme="minorHAnsi" w:eastAsiaTheme="majorEastAsia" w:hAnsiTheme="minorHAnsi" w:cs="Segoe UI"/>
          <w:color w:val="222222"/>
          <w:shd w:val="clear" w:color="auto" w:fill="FFFFFF"/>
        </w:rPr>
        <w:t>Temat #1: Bilansowanie KSE; usługi elastyczności; magazynowanie energii elektrycznej; taryfowanie (12 głosów)</w:t>
      </w:r>
      <w:r w:rsidRPr="00B2191F">
        <w:rPr>
          <w:rStyle w:val="eop"/>
          <w:rFonts w:asciiTheme="minorHAnsi" w:eastAsiaTheme="majorEastAsia" w:hAnsiTheme="minorHAnsi" w:cs="Segoe UI"/>
          <w:color w:val="222222"/>
        </w:rPr>
        <w:t> </w:t>
      </w:r>
    </w:p>
    <w:p w14:paraId="78030DA9" w14:textId="33E847DE" w:rsidR="00B2191F" w:rsidRPr="00B2191F" w:rsidRDefault="004552D2" w:rsidP="17A756DD">
      <w:pPr>
        <w:pStyle w:val="paragraph"/>
        <w:numPr>
          <w:ilvl w:val="0"/>
          <w:numId w:val="38"/>
        </w:numPr>
        <w:shd w:val="clear" w:color="auto" w:fill="FFFFFF" w:themeFill="background1"/>
        <w:spacing w:before="0" w:beforeAutospacing="0" w:after="0" w:afterAutospacing="0"/>
        <w:ind w:left="567"/>
        <w:jc w:val="both"/>
        <w:textAlignment w:val="baseline"/>
        <w:rPr>
          <w:rFonts w:asciiTheme="minorHAnsi" w:hAnsiTheme="minorHAnsi" w:cs="Segoe UI"/>
          <w:color w:val="222222"/>
        </w:rPr>
      </w:pPr>
      <w:r w:rsidRPr="17A756DD">
        <w:rPr>
          <w:rStyle w:val="normaltextrun"/>
          <w:rFonts w:asciiTheme="minorHAnsi" w:eastAsiaTheme="majorEastAsia" w:hAnsiTheme="minorHAnsi" w:cs="Segoe UI"/>
          <w:color w:val="222222"/>
          <w:shd w:val="clear" w:color="auto" w:fill="FFFFFF"/>
        </w:rPr>
        <w:t xml:space="preserve">Temat #2: Sieć elektroenergetyczna – finansowanie i zarządzanie; budowa </w:t>
      </w:r>
      <w:proofErr w:type="spellStart"/>
      <w:r w:rsidRPr="17A756DD">
        <w:rPr>
          <w:rStyle w:val="normaltextrun"/>
          <w:rFonts w:asciiTheme="minorHAnsi" w:eastAsiaTheme="majorEastAsia" w:hAnsiTheme="minorHAnsi" w:cs="Segoe UI"/>
          <w:color w:val="222222"/>
          <w:shd w:val="clear" w:color="auto" w:fill="FFFFFF"/>
        </w:rPr>
        <w:t>interkonektorów</w:t>
      </w:r>
      <w:proofErr w:type="spellEnd"/>
      <w:r w:rsidRPr="17A756DD">
        <w:rPr>
          <w:rStyle w:val="normaltextrun"/>
          <w:rFonts w:asciiTheme="minorHAnsi" w:eastAsiaTheme="majorEastAsia" w:hAnsiTheme="minorHAnsi" w:cs="Segoe UI"/>
          <w:color w:val="222222"/>
          <w:shd w:val="clear" w:color="auto" w:fill="FFFFFF"/>
        </w:rPr>
        <w:t>; sieci prądu stałego (10 głosów)</w:t>
      </w:r>
      <w:r w:rsidRPr="17A756DD">
        <w:rPr>
          <w:rStyle w:val="eop"/>
          <w:rFonts w:asciiTheme="minorHAnsi" w:eastAsiaTheme="majorEastAsia" w:hAnsiTheme="minorHAnsi" w:cs="Segoe UI"/>
          <w:color w:val="222222"/>
        </w:rPr>
        <w:t> </w:t>
      </w:r>
    </w:p>
    <w:p w14:paraId="28300ABA" w14:textId="77777777" w:rsidR="00B2191F" w:rsidRPr="00B2191F" w:rsidRDefault="00B2191F" w:rsidP="0002383B">
      <w:pPr>
        <w:pStyle w:val="paragraph"/>
        <w:numPr>
          <w:ilvl w:val="0"/>
          <w:numId w:val="38"/>
        </w:numPr>
        <w:shd w:val="clear" w:color="auto" w:fill="FFFFFF"/>
        <w:spacing w:before="0" w:beforeAutospacing="0" w:after="0" w:afterAutospacing="0"/>
        <w:ind w:left="567"/>
        <w:jc w:val="both"/>
        <w:textAlignment w:val="baseline"/>
        <w:rPr>
          <w:rFonts w:asciiTheme="minorHAnsi" w:hAnsiTheme="minorHAnsi" w:cs="Segoe UI"/>
          <w:color w:val="222222"/>
        </w:rPr>
      </w:pPr>
      <w:r w:rsidRPr="00B2191F">
        <w:rPr>
          <w:rStyle w:val="normaltextrun"/>
          <w:rFonts w:asciiTheme="minorHAnsi" w:eastAsiaTheme="majorEastAsia" w:hAnsiTheme="minorHAnsi" w:cs="Segoe UI"/>
          <w:color w:val="222222"/>
          <w:shd w:val="clear" w:color="auto" w:fill="FFFFFF"/>
        </w:rPr>
        <w:t>Temat #3: Elektryfikacja ciepłownictwa i ogrzewnictwa; wykorzystanie magazynów ciepła (7 głosów)</w:t>
      </w:r>
      <w:r w:rsidRPr="00B2191F">
        <w:rPr>
          <w:rStyle w:val="eop"/>
          <w:rFonts w:asciiTheme="minorHAnsi" w:eastAsiaTheme="majorEastAsia" w:hAnsiTheme="minorHAnsi" w:cs="Segoe UI"/>
          <w:color w:val="222222"/>
        </w:rPr>
        <w:t> </w:t>
      </w:r>
    </w:p>
    <w:p w14:paraId="56184A06" w14:textId="77777777" w:rsidR="00B2191F" w:rsidRPr="00B2191F" w:rsidRDefault="00B2191F" w:rsidP="19D7A4A9">
      <w:pPr>
        <w:pStyle w:val="paragraph"/>
        <w:numPr>
          <w:ilvl w:val="0"/>
          <w:numId w:val="38"/>
        </w:numPr>
        <w:shd w:val="clear" w:color="auto" w:fill="FFFFFF" w:themeFill="background1"/>
        <w:spacing w:before="0" w:beforeAutospacing="0" w:after="0" w:afterAutospacing="0"/>
        <w:ind w:left="567"/>
        <w:jc w:val="both"/>
        <w:textAlignment w:val="baseline"/>
        <w:rPr>
          <w:rFonts w:asciiTheme="minorHAnsi" w:hAnsiTheme="minorHAnsi" w:cs="Segoe UI"/>
          <w:color w:val="222222"/>
        </w:rPr>
      </w:pPr>
      <w:r w:rsidRPr="00B2191F">
        <w:rPr>
          <w:rStyle w:val="normaltextrun"/>
          <w:rFonts w:asciiTheme="minorHAnsi" w:eastAsiaTheme="majorEastAsia" w:hAnsiTheme="minorHAnsi" w:cs="Segoe UI"/>
          <w:color w:val="222222"/>
          <w:shd w:val="clear" w:color="auto" w:fill="FFFFFF"/>
        </w:rPr>
        <w:t xml:space="preserve">Temat #4: </w:t>
      </w:r>
      <w:proofErr w:type="spellStart"/>
      <w:r w:rsidRPr="00B2191F">
        <w:rPr>
          <w:rStyle w:val="normaltextrun"/>
          <w:rFonts w:asciiTheme="minorHAnsi" w:eastAsiaTheme="majorEastAsia" w:hAnsiTheme="minorHAnsi" w:cs="Segoe UI"/>
          <w:color w:val="222222"/>
          <w:shd w:val="clear" w:color="auto" w:fill="FFFFFF"/>
        </w:rPr>
        <w:t>Permitting</w:t>
      </w:r>
      <w:proofErr w:type="spellEnd"/>
      <w:r w:rsidRPr="00B2191F">
        <w:rPr>
          <w:rStyle w:val="normaltextrun"/>
          <w:rFonts w:asciiTheme="minorHAnsi" w:eastAsiaTheme="majorEastAsia" w:hAnsiTheme="minorHAnsi" w:cs="Segoe UI"/>
          <w:color w:val="222222"/>
          <w:shd w:val="clear" w:color="auto" w:fill="FFFFFF"/>
        </w:rPr>
        <w:t xml:space="preserve"> – źródła wytwórcze i infrastruktura (5 głosów)</w:t>
      </w:r>
      <w:r w:rsidRPr="00B2191F">
        <w:rPr>
          <w:rStyle w:val="eop"/>
          <w:rFonts w:asciiTheme="minorHAnsi" w:eastAsiaTheme="majorEastAsia" w:hAnsiTheme="minorHAnsi" w:cs="Segoe UI"/>
          <w:color w:val="222222"/>
        </w:rPr>
        <w:t> </w:t>
      </w:r>
    </w:p>
    <w:p w14:paraId="7CDCBAD1" w14:textId="77777777" w:rsidR="00B2191F" w:rsidRPr="00B2191F" w:rsidRDefault="00B2191F" w:rsidP="0002383B">
      <w:pPr>
        <w:pStyle w:val="paragraph"/>
        <w:numPr>
          <w:ilvl w:val="0"/>
          <w:numId w:val="38"/>
        </w:numPr>
        <w:shd w:val="clear" w:color="auto" w:fill="FFFFFF"/>
        <w:spacing w:before="0" w:beforeAutospacing="0" w:after="0" w:afterAutospacing="0"/>
        <w:ind w:left="567"/>
        <w:jc w:val="both"/>
        <w:textAlignment w:val="baseline"/>
        <w:rPr>
          <w:rFonts w:asciiTheme="minorHAnsi" w:hAnsiTheme="minorHAnsi" w:cs="Segoe UI"/>
          <w:color w:val="222222"/>
        </w:rPr>
      </w:pPr>
      <w:r w:rsidRPr="00B2191F">
        <w:rPr>
          <w:rStyle w:val="normaltextrun"/>
          <w:rFonts w:asciiTheme="minorHAnsi" w:eastAsiaTheme="majorEastAsia" w:hAnsiTheme="minorHAnsi" w:cs="Segoe UI"/>
          <w:color w:val="222222"/>
          <w:shd w:val="clear" w:color="auto" w:fill="FFFFFF"/>
        </w:rPr>
        <w:t>Temat #5: Integracja sektorów (3 głosy)</w:t>
      </w:r>
      <w:r w:rsidRPr="00B2191F">
        <w:rPr>
          <w:rStyle w:val="eop"/>
          <w:rFonts w:asciiTheme="minorHAnsi" w:eastAsiaTheme="majorEastAsia" w:hAnsiTheme="minorHAnsi" w:cs="Segoe UI"/>
          <w:color w:val="222222"/>
        </w:rPr>
        <w:t> </w:t>
      </w:r>
    </w:p>
    <w:p w14:paraId="3AF7E0AF" w14:textId="77777777" w:rsidR="00B2191F" w:rsidRPr="00B2191F" w:rsidRDefault="00B2191F" w:rsidP="0002383B">
      <w:pPr>
        <w:pStyle w:val="paragraph"/>
        <w:numPr>
          <w:ilvl w:val="0"/>
          <w:numId w:val="38"/>
        </w:numPr>
        <w:shd w:val="clear" w:color="auto" w:fill="FFFFFF"/>
        <w:spacing w:before="0" w:beforeAutospacing="0" w:after="0" w:afterAutospacing="0"/>
        <w:ind w:left="567"/>
        <w:jc w:val="both"/>
        <w:textAlignment w:val="baseline"/>
        <w:rPr>
          <w:rFonts w:asciiTheme="minorHAnsi" w:hAnsiTheme="minorHAnsi" w:cs="Segoe UI"/>
          <w:color w:val="222222"/>
        </w:rPr>
      </w:pPr>
      <w:r w:rsidRPr="00B2191F">
        <w:rPr>
          <w:rStyle w:val="normaltextrun"/>
          <w:rFonts w:asciiTheme="minorHAnsi" w:eastAsiaTheme="majorEastAsia" w:hAnsiTheme="minorHAnsi" w:cs="Segoe UI"/>
          <w:color w:val="222222"/>
          <w:shd w:val="clear" w:color="auto" w:fill="FFFFFF"/>
        </w:rPr>
        <w:t>Temat #6 Bezpieczeństwo energetyczne (2 głosy)</w:t>
      </w:r>
      <w:r w:rsidRPr="00B2191F">
        <w:rPr>
          <w:rStyle w:val="eop"/>
          <w:rFonts w:asciiTheme="minorHAnsi" w:eastAsiaTheme="majorEastAsia" w:hAnsiTheme="minorHAnsi" w:cs="Segoe UI"/>
          <w:color w:val="222222"/>
        </w:rPr>
        <w:t> </w:t>
      </w:r>
    </w:p>
    <w:p w14:paraId="52735DAF" w14:textId="365539BF" w:rsidR="00B2191F" w:rsidRDefault="00B2191F" w:rsidP="19D7A4A9">
      <w:pPr>
        <w:pStyle w:val="paragraph"/>
        <w:shd w:val="clear" w:color="auto" w:fill="FFFFFF" w:themeFill="background1"/>
        <w:spacing w:before="0" w:beforeAutospacing="0" w:after="0" w:afterAutospacing="0"/>
        <w:jc w:val="both"/>
        <w:textAlignment w:val="baseline"/>
        <w:rPr>
          <w:rStyle w:val="eop"/>
          <w:rFonts w:asciiTheme="minorHAnsi" w:eastAsiaTheme="majorEastAsia" w:hAnsiTheme="minorHAnsi" w:cs="Segoe UI"/>
          <w:color w:val="222222"/>
        </w:rPr>
      </w:pPr>
      <w:r w:rsidRPr="00B2191F">
        <w:rPr>
          <w:rStyle w:val="normaltextrun"/>
          <w:rFonts w:asciiTheme="minorHAnsi" w:eastAsiaTheme="majorEastAsia" w:hAnsiTheme="minorHAnsi" w:cs="Segoe UI"/>
          <w:color w:val="222222"/>
          <w:shd w:val="clear" w:color="auto" w:fill="FFFFFF"/>
        </w:rPr>
        <w:t xml:space="preserve">Dla najistotniejszych aspektów uczestnicy starali się wspólnie wypracować propozycje kierunkowych działań możliwych do uwzględniania w </w:t>
      </w:r>
      <w:proofErr w:type="spellStart"/>
      <w:r w:rsidRPr="00B2191F">
        <w:rPr>
          <w:rStyle w:val="normaltextrun"/>
          <w:rFonts w:asciiTheme="minorHAnsi" w:eastAsiaTheme="majorEastAsia" w:hAnsiTheme="minorHAnsi" w:cs="Segoe UI"/>
          <w:color w:val="222222"/>
          <w:shd w:val="clear" w:color="auto" w:fill="FFFFFF"/>
        </w:rPr>
        <w:t>KPEiK</w:t>
      </w:r>
      <w:proofErr w:type="spellEnd"/>
      <w:r w:rsidRPr="00B2191F">
        <w:rPr>
          <w:rStyle w:val="normaltextrun"/>
          <w:rFonts w:asciiTheme="minorHAnsi" w:eastAsiaTheme="majorEastAsia" w:hAnsiTheme="minorHAnsi" w:cs="Segoe UI"/>
          <w:color w:val="222222"/>
          <w:shd w:val="clear" w:color="auto" w:fill="FFFFFF"/>
        </w:rPr>
        <w:t>. Z uwagi na ograniczony czas dyskusji oraz kompleksowość omawianych wyzwań, przedyskutowano potencjalne zestawy działań dla trzech priorytetowych tematów.</w:t>
      </w:r>
    </w:p>
    <w:p w14:paraId="3804E7D1" w14:textId="77777777" w:rsidR="0002383B" w:rsidRPr="00B2191F" w:rsidRDefault="0002383B"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2EDDE0AF" w14:textId="3339A3F2" w:rsidR="00B2191F" w:rsidRPr="0002383B" w:rsidRDefault="0002383B" w:rsidP="0002383B">
      <w:pPr>
        <w:pStyle w:val="Nagwek2"/>
        <w:jc w:val="both"/>
        <w:rPr>
          <w:rStyle w:val="normaltextrun"/>
          <w:rFonts w:ascii="Gill Sans Nova" w:hAnsi="Gill Sans Nova"/>
        </w:rPr>
      </w:pPr>
      <w:r w:rsidRPr="0002383B">
        <w:rPr>
          <w:rStyle w:val="normaltextrun"/>
          <w:rFonts w:ascii="Gill Sans Nova" w:hAnsi="Gill Sans Nova"/>
          <w:color w:val="0081FB"/>
        </w:rPr>
        <w:t>Temat 1.</w:t>
      </w:r>
      <w:r w:rsidR="00B2191F" w:rsidRPr="0002383B">
        <w:rPr>
          <w:rStyle w:val="normaltextrun"/>
          <w:rFonts w:ascii="Gill Sans Nova" w:hAnsi="Gill Sans Nova"/>
          <w:color w:val="0081FB"/>
        </w:rPr>
        <w:t>1: Bilansowanie KSE; usługi elastyczności; magazynowanie energii elektrycznej; taryfowanie </w:t>
      </w:r>
      <w:r w:rsidR="00B2191F" w:rsidRPr="0002383B">
        <w:rPr>
          <w:rStyle w:val="normaltextrun"/>
          <w:rFonts w:ascii="Gill Sans Nova" w:hAnsi="Gill Sans Nova"/>
        </w:rPr>
        <w:t> </w:t>
      </w:r>
    </w:p>
    <w:p w14:paraId="12C117AC" w14:textId="77777777" w:rsidR="0002383B" w:rsidRDefault="0002383B" w:rsidP="0002383B">
      <w:pPr>
        <w:pStyle w:val="paragraph"/>
        <w:shd w:val="clear" w:color="auto" w:fill="FFFFFF"/>
        <w:spacing w:before="0" w:beforeAutospacing="0" w:after="0" w:afterAutospacing="0"/>
        <w:jc w:val="both"/>
        <w:textAlignment w:val="baseline"/>
        <w:rPr>
          <w:rStyle w:val="normaltextrun"/>
          <w:rFonts w:asciiTheme="minorHAnsi" w:eastAsiaTheme="majorEastAsia" w:hAnsiTheme="minorHAnsi" w:cs="Segoe UI"/>
          <w:color w:val="0081FB"/>
          <w:sz w:val="26"/>
          <w:szCs w:val="26"/>
          <w:shd w:val="clear" w:color="auto" w:fill="FFFFFF"/>
        </w:rPr>
      </w:pPr>
    </w:p>
    <w:p w14:paraId="110178D0" w14:textId="5697A5D1" w:rsidR="00B2191F" w:rsidRPr="0002383B" w:rsidRDefault="00B2191F" w:rsidP="0002383B">
      <w:pPr>
        <w:pStyle w:val="paragraph"/>
        <w:shd w:val="clear" w:color="auto" w:fill="FFFFFF"/>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Działanie #1: Popularyzacja taryf dynamicznych </w:t>
      </w:r>
      <w:r w:rsidRPr="0002383B">
        <w:rPr>
          <w:rStyle w:val="normaltextrun"/>
          <w:rFonts w:eastAsiaTheme="majorEastAsia"/>
          <w:b/>
          <w:bCs/>
          <w:color w:val="222222"/>
          <w:shd w:val="clear" w:color="auto" w:fill="FFFFFF"/>
        </w:rPr>
        <w:t> </w:t>
      </w:r>
    </w:p>
    <w:p w14:paraId="008471DF" w14:textId="77777777" w:rsidR="00B2191F" w:rsidRPr="00B2191F" w:rsidRDefault="00B2191F" w:rsidP="0002383B">
      <w:pPr>
        <w:pStyle w:val="paragraph"/>
        <w:numPr>
          <w:ilvl w:val="0"/>
          <w:numId w:val="39"/>
        </w:numPr>
        <w:shd w:val="clear" w:color="auto" w:fill="FFFFFF"/>
        <w:spacing w:before="0" w:beforeAutospacing="0" w:after="0" w:afterAutospacing="0"/>
        <w:ind w:left="284"/>
        <w:jc w:val="both"/>
        <w:textAlignment w:val="baseline"/>
        <w:rPr>
          <w:rFonts w:asciiTheme="minorHAnsi" w:hAnsiTheme="minorHAnsi" w:cs="Segoe UI"/>
          <w:color w:val="222222"/>
          <w:sz w:val="18"/>
          <w:szCs w:val="18"/>
        </w:rPr>
      </w:pPr>
      <w:r w:rsidRPr="00B2191F">
        <w:rPr>
          <w:rStyle w:val="normaltextrun"/>
          <w:rFonts w:asciiTheme="minorHAnsi" w:eastAsiaTheme="majorEastAsia" w:hAnsiTheme="minorHAnsi" w:cs="Segoe UI"/>
          <w:color w:val="222222"/>
          <w:shd w:val="clear" w:color="auto" w:fill="FFFFFF"/>
        </w:rPr>
        <w:t>Instrument regulacyjny: Z uwagi na to, że od sierpnia wprowadzone zostaną taryfy dynamiczne tylko dla gospodarstw domowych, uczestnicy zarekomendowali, aby wprowadzono obowiązek wprowadzenia taryf dynamicznych również dla pozostałych grup taryfowych.</w:t>
      </w:r>
      <w:r w:rsidRPr="00B2191F">
        <w:rPr>
          <w:rStyle w:val="eop"/>
          <w:rFonts w:asciiTheme="minorHAnsi" w:eastAsiaTheme="majorEastAsia" w:hAnsiTheme="minorHAnsi" w:cs="Segoe UI"/>
          <w:color w:val="222222"/>
        </w:rPr>
        <w:t> </w:t>
      </w:r>
    </w:p>
    <w:p w14:paraId="7411353A" w14:textId="77777777" w:rsidR="00B2191F" w:rsidRPr="00B2191F" w:rsidRDefault="00B2191F" w:rsidP="0002383B">
      <w:pPr>
        <w:pStyle w:val="paragraph"/>
        <w:numPr>
          <w:ilvl w:val="0"/>
          <w:numId w:val="39"/>
        </w:numPr>
        <w:shd w:val="clear" w:color="auto" w:fill="FFFFFF"/>
        <w:spacing w:before="0" w:beforeAutospacing="0" w:after="0" w:afterAutospacing="0"/>
        <w:ind w:left="284"/>
        <w:jc w:val="both"/>
        <w:textAlignment w:val="baseline"/>
        <w:rPr>
          <w:rFonts w:asciiTheme="minorHAnsi" w:hAnsiTheme="minorHAnsi" w:cs="Segoe UI"/>
          <w:color w:val="222222"/>
          <w:sz w:val="18"/>
          <w:szCs w:val="18"/>
        </w:rPr>
      </w:pPr>
      <w:r w:rsidRPr="00B2191F">
        <w:rPr>
          <w:rStyle w:val="normaltextrun"/>
          <w:rFonts w:asciiTheme="minorHAnsi" w:eastAsiaTheme="majorEastAsia" w:hAnsiTheme="minorHAnsi" w:cs="Segoe UI"/>
          <w:color w:val="222222"/>
          <w:shd w:val="clear" w:color="auto" w:fill="FFFFFF"/>
        </w:rPr>
        <w:t>Instrument edukacyjny: Uczestnicy podkreślili potrzebę uruchomienia działań edukacyjnych, które pozwoliłyby wskazać odbiorcom końcowym potencjalne korzyści wynikające ze zmiany obecnej taryfy na taryfę dynamiczną oraz sposoby na maksymalizację tego potencjału. Jako podmioty odpowiedzialne za wdrażanie polityki edukacyjnej wskazano dostawców energii elektrycznej. </w:t>
      </w:r>
      <w:r w:rsidRPr="00B2191F">
        <w:rPr>
          <w:rStyle w:val="eop"/>
          <w:rFonts w:asciiTheme="minorHAnsi" w:eastAsiaTheme="majorEastAsia" w:hAnsiTheme="minorHAnsi" w:cs="Segoe UI"/>
          <w:color w:val="222222"/>
        </w:rPr>
        <w:t> </w:t>
      </w:r>
    </w:p>
    <w:p w14:paraId="5333DB45" w14:textId="77777777" w:rsidR="00B2191F" w:rsidRPr="00B2191F" w:rsidRDefault="00B2191F" w:rsidP="0002383B">
      <w:pPr>
        <w:pStyle w:val="paragraph"/>
        <w:numPr>
          <w:ilvl w:val="0"/>
          <w:numId w:val="39"/>
        </w:numPr>
        <w:shd w:val="clear" w:color="auto" w:fill="FFFFFF"/>
        <w:spacing w:before="0" w:beforeAutospacing="0" w:after="0" w:afterAutospacing="0"/>
        <w:ind w:left="284"/>
        <w:jc w:val="both"/>
        <w:textAlignment w:val="baseline"/>
        <w:rPr>
          <w:rFonts w:asciiTheme="minorHAnsi" w:hAnsiTheme="minorHAnsi" w:cs="Segoe UI"/>
          <w:color w:val="222222"/>
          <w:sz w:val="18"/>
          <w:szCs w:val="18"/>
        </w:rPr>
      </w:pPr>
      <w:r w:rsidRPr="00B2191F">
        <w:rPr>
          <w:rStyle w:val="normaltextrun"/>
          <w:rFonts w:asciiTheme="minorHAnsi" w:eastAsiaTheme="majorEastAsia" w:hAnsiTheme="minorHAnsi" w:cs="Segoe UI"/>
          <w:color w:val="222222"/>
          <w:shd w:val="clear" w:color="auto" w:fill="FFFFFF"/>
        </w:rPr>
        <w:t>Inne instrumenty: Jednocześnie wskazano konieczność rozwoju infrastruktury informatycznej, która zapewniałaby prosty interfejs dla użytkowników pozwalający na lepsze zarządzanie zużyciem energii elektrycznej.</w:t>
      </w:r>
      <w:r w:rsidRPr="00B2191F">
        <w:rPr>
          <w:rStyle w:val="eop"/>
          <w:rFonts w:asciiTheme="minorHAnsi" w:eastAsiaTheme="majorEastAsia" w:hAnsiTheme="minorHAnsi" w:cs="Segoe UI"/>
          <w:color w:val="222222"/>
        </w:rPr>
        <w:t> </w:t>
      </w:r>
    </w:p>
    <w:p w14:paraId="076FCC59" w14:textId="14B5E5AC" w:rsidR="00B2191F" w:rsidRDefault="00B2191F" w:rsidP="00B2191F">
      <w:pPr>
        <w:pStyle w:val="paragraph"/>
        <w:shd w:val="clear" w:color="auto" w:fill="FFFFFF"/>
        <w:spacing w:before="0" w:beforeAutospacing="0" w:after="0" w:afterAutospacing="0"/>
        <w:jc w:val="both"/>
        <w:textAlignment w:val="baseline"/>
        <w:rPr>
          <w:rStyle w:val="eop"/>
          <w:rFonts w:asciiTheme="minorHAnsi" w:eastAsiaTheme="majorEastAsia" w:hAnsiTheme="minorHAnsi" w:cs="Segoe UI"/>
          <w:color w:val="222222"/>
        </w:rPr>
      </w:pPr>
      <w:r w:rsidRPr="00B2191F">
        <w:rPr>
          <w:rStyle w:val="normaltextrun"/>
          <w:rFonts w:asciiTheme="minorHAnsi" w:eastAsiaTheme="majorEastAsia" w:hAnsiTheme="minorHAnsi" w:cs="Segoe UI"/>
          <w:color w:val="222222"/>
          <w:shd w:val="clear" w:color="auto" w:fill="FFFFFF"/>
        </w:rPr>
        <w:lastRenderedPageBreak/>
        <w:t>Jako wskaźnik służący do monitorowania wdrażanych polityk wskazano liczbę zawieranych umów na taryfę dynamiczną. Wskazano, iż podmiotem odpowiedzialnym za monitoring mógłby być Urząd Regulacji Energetyki.</w:t>
      </w:r>
    </w:p>
    <w:p w14:paraId="17B29DA5" w14:textId="77777777" w:rsidR="0002383B" w:rsidRPr="00B2191F" w:rsidRDefault="0002383B"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66FF237C" w14:textId="77777777" w:rsidR="00B2191F" w:rsidRPr="0002383B" w:rsidRDefault="00B2191F" w:rsidP="0002383B">
      <w:pPr>
        <w:pStyle w:val="paragraph"/>
        <w:shd w:val="clear" w:color="auto" w:fill="FFFFFF"/>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Działanie #2: Dynamizacja opłat sieciowych</w:t>
      </w:r>
      <w:r w:rsidRPr="0002383B">
        <w:rPr>
          <w:rStyle w:val="normaltextrun"/>
          <w:rFonts w:eastAsiaTheme="majorEastAsia"/>
          <w:b/>
          <w:bCs/>
          <w:color w:val="222222"/>
          <w:shd w:val="clear" w:color="auto" w:fill="FFFFFF"/>
        </w:rPr>
        <w:t> </w:t>
      </w:r>
    </w:p>
    <w:p w14:paraId="65012BE1" w14:textId="3A56719F" w:rsidR="00B2191F" w:rsidRDefault="00B2191F" w:rsidP="0002383B">
      <w:pPr>
        <w:pStyle w:val="paragraph"/>
        <w:shd w:val="clear" w:color="auto" w:fill="FFFFFF"/>
        <w:spacing w:before="0" w:beforeAutospacing="0" w:after="0" w:afterAutospacing="0"/>
        <w:jc w:val="both"/>
        <w:textAlignment w:val="baseline"/>
        <w:rPr>
          <w:rStyle w:val="eop"/>
          <w:rFonts w:asciiTheme="minorHAnsi" w:eastAsiaTheme="majorEastAsia" w:hAnsiTheme="minorHAnsi" w:cs="Segoe UI"/>
          <w:color w:val="222222"/>
        </w:rPr>
      </w:pPr>
      <w:r w:rsidRPr="00B2191F">
        <w:rPr>
          <w:rStyle w:val="normaltextrun"/>
          <w:rFonts w:asciiTheme="minorHAnsi" w:eastAsiaTheme="majorEastAsia" w:hAnsiTheme="minorHAnsi" w:cs="Segoe UI"/>
          <w:color w:val="222222"/>
          <w:shd w:val="clear" w:color="auto" w:fill="FFFFFF"/>
        </w:rPr>
        <w:t>Instrument regulacyjny: Uczestnicy podkreślili, iż wysoki udział kosztów stałych w</w:t>
      </w:r>
      <w:r w:rsidRPr="00B2191F">
        <w:rPr>
          <w:rStyle w:val="normaltextrun"/>
          <w:rFonts w:ascii="Arial" w:eastAsiaTheme="majorEastAsia" w:hAnsi="Arial" w:cs="Arial"/>
          <w:color w:val="222222"/>
          <w:shd w:val="clear" w:color="auto" w:fill="FFFFFF"/>
        </w:rPr>
        <w:t> </w:t>
      </w:r>
      <w:r w:rsidRPr="00B2191F">
        <w:rPr>
          <w:rStyle w:val="normaltextrun"/>
          <w:rFonts w:asciiTheme="minorHAnsi" w:eastAsiaTheme="majorEastAsia" w:hAnsiTheme="minorHAnsi" w:cs="Segoe UI"/>
          <w:color w:val="222222"/>
          <w:shd w:val="clear" w:color="auto" w:fill="FFFFFF"/>
        </w:rPr>
        <w:t>taryfach za dystrybucj</w:t>
      </w:r>
      <w:r w:rsidRPr="00B2191F">
        <w:rPr>
          <w:rStyle w:val="normaltextrun"/>
          <w:rFonts w:asciiTheme="minorHAnsi" w:eastAsiaTheme="majorEastAsia" w:hAnsiTheme="minorHAnsi" w:cs="Corbel"/>
          <w:color w:val="222222"/>
          <w:shd w:val="clear" w:color="auto" w:fill="FFFFFF"/>
        </w:rPr>
        <w:t>ę</w:t>
      </w:r>
      <w:r w:rsidRPr="00B2191F">
        <w:rPr>
          <w:rStyle w:val="normaltextrun"/>
          <w:rFonts w:asciiTheme="minorHAnsi" w:eastAsiaTheme="majorEastAsia" w:hAnsiTheme="minorHAnsi" w:cs="Segoe UI"/>
          <w:color w:val="222222"/>
          <w:shd w:val="clear" w:color="auto" w:fill="FFFFFF"/>
        </w:rPr>
        <w:t xml:space="preserve"> energii elektrycznej powoduje, iż bodziec ekonomiczny opłat zmiennych nie jest wystarczająco duży, aby zachęcić odbiorców do lepszego zarządzania zużyciem energii. Zarekomendowano uzmiennienie kosztów stałych w taryfach dystrybucyjnych oraz wprowadzenie dynamicznych taryf za dystrybucję energii elektrycznej.</w:t>
      </w:r>
    </w:p>
    <w:p w14:paraId="585F0CE2" w14:textId="77777777" w:rsidR="0002383B" w:rsidRPr="00B2191F" w:rsidRDefault="0002383B"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78FD3CCA" w14:textId="77777777" w:rsidR="00B2191F" w:rsidRPr="0002383B" w:rsidRDefault="00B2191F" w:rsidP="0002383B">
      <w:pPr>
        <w:pStyle w:val="paragraph"/>
        <w:shd w:val="clear" w:color="auto" w:fill="FFFFFF"/>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Działanie #3: Analiza ograniczeń sieciowych</w:t>
      </w:r>
      <w:r w:rsidRPr="0002383B">
        <w:rPr>
          <w:rStyle w:val="normaltextrun"/>
          <w:rFonts w:eastAsiaTheme="majorEastAsia"/>
          <w:b/>
          <w:bCs/>
          <w:color w:val="222222"/>
          <w:shd w:val="clear" w:color="auto" w:fill="FFFFFF"/>
        </w:rPr>
        <w:t> </w:t>
      </w:r>
    </w:p>
    <w:p w14:paraId="2611FA5C" w14:textId="6F545262" w:rsidR="00B2191F" w:rsidRDefault="00B2191F" w:rsidP="19D7A4A9">
      <w:pPr>
        <w:pStyle w:val="paragraph"/>
        <w:shd w:val="clear" w:color="auto" w:fill="FFFFFF" w:themeFill="background1"/>
        <w:spacing w:before="0" w:beforeAutospacing="0" w:after="0" w:afterAutospacing="0"/>
        <w:jc w:val="both"/>
        <w:textAlignment w:val="baseline"/>
        <w:rPr>
          <w:rStyle w:val="eop"/>
          <w:rFonts w:asciiTheme="minorHAnsi" w:eastAsiaTheme="majorEastAsia" w:hAnsiTheme="minorHAnsi" w:cs="Segoe UI"/>
          <w:color w:val="222222"/>
        </w:rPr>
      </w:pPr>
      <w:r w:rsidRPr="00B2191F">
        <w:rPr>
          <w:rStyle w:val="normaltextrun"/>
          <w:rFonts w:asciiTheme="minorHAnsi" w:eastAsiaTheme="majorEastAsia" w:hAnsiTheme="minorHAnsi" w:cs="Segoe UI"/>
          <w:color w:val="222222"/>
          <w:shd w:val="clear" w:color="auto" w:fill="FFFFFF"/>
        </w:rPr>
        <w:t xml:space="preserve">Instrument dot. planowania: Zarekomendowano uruchomienie projektów badawczych mających na celu dokładną analizę ograniczeń sieciowych i sposoby ich minimalizacji. Jako podmioty odpowiedzialne za prowadzenie projektów badawczych wskazano PSE oraz </w:t>
      </w:r>
      <w:proofErr w:type="spellStart"/>
      <w:r w:rsidRPr="00B2191F">
        <w:rPr>
          <w:rStyle w:val="normaltextrun"/>
          <w:rFonts w:asciiTheme="minorHAnsi" w:eastAsiaTheme="majorEastAsia" w:hAnsiTheme="minorHAnsi" w:cs="Segoe UI"/>
          <w:color w:val="222222"/>
          <w:shd w:val="clear" w:color="auto" w:fill="FFFFFF"/>
        </w:rPr>
        <w:t>NCBiR</w:t>
      </w:r>
      <w:proofErr w:type="spellEnd"/>
      <w:r w:rsidRPr="00B2191F">
        <w:rPr>
          <w:rStyle w:val="normaltextrun"/>
          <w:rFonts w:asciiTheme="minorHAnsi" w:eastAsiaTheme="majorEastAsia" w:hAnsiTheme="minorHAnsi" w:cs="Segoe UI"/>
          <w:color w:val="222222"/>
          <w:shd w:val="clear" w:color="auto" w:fill="FFFFFF"/>
        </w:rPr>
        <w:t>.</w:t>
      </w:r>
    </w:p>
    <w:p w14:paraId="76211CA1" w14:textId="77777777" w:rsidR="0002383B" w:rsidRPr="00B2191F" w:rsidRDefault="0002383B" w:rsidP="0002383B">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1ABE6155" w14:textId="77777777" w:rsidR="00B2191F" w:rsidRPr="0002383B" w:rsidRDefault="00B2191F" w:rsidP="0002383B">
      <w:pPr>
        <w:pStyle w:val="paragraph"/>
        <w:shd w:val="clear" w:color="auto" w:fill="FFFFFF"/>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Działanie #4: Zwiększenie udziału magazynów energii elektrycznej w rynku mocy</w:t>
      </w:r>
      <w:r w:rsidRPr="0002383B">
        <w:rPr>
          <w:rStyle w:val="normaltextrun"/>
          <w:rFonts w:eastAsiaTheme="majorEastAsia"/>
          <w:b/>
          <w:bCs/>
          <w:color w:val="222222"/>
          <w:shd w:val="clear" w:color="auto" w:fill="FFFFFF"/>
        </w:rPr>
        <w:t> </w:t>
      </w:r>
    </w:p>
    <w:p w14:paraId="14A8BF6A" w14:textId="3702CD71" w:rsidR="00B2191F" w:rsidRDefault="004552D2" w:rsidP="17A756DD">
      <w:pPr>
        <w:pStyle w:val="paragraph"/>
        <w:shd w:val="clear" w:color="auto" w:fill="FFFFFF" w:themeFill="background1"/>
        <w:spacing w:before="0" w:beforeAutospacing="0" w:after="0" w:afterAutospacing="0"/>
        <w:jc w:val="both"/>
        <w:textAlignment w:val="baseline"/>
        <w:rPr>
          <w:rStyle w:val="eop"/>
          <w:rFonts w:asciiTheme="minorHAnsi" w:eastAsiaTheme="majorEastAsia" w:hAnsiTheme="minorHAnsi" w:cs="Segoe UI"/>
          <w:color w:val="222222"/>
        </w:rPr>
      </w:pPr>
      <w:r w:rsidRPr="17A756DD">
        <w:rPr>
          <w:rStyle w:val="normaltextrun"/>
          <w:rFonts w:asciiTheme="minorHAnsi" w:eastAsiaTheme="majorEastAsia" w:hAnsiTheme="minorHAnsi" w:cs="Segoe UI"/>
          <w:color w:val="222222"/>
          <w:shd w:val="clear" w:color="auto" w:fill="FFFFFF"/>
        </w:rPr>
        <w:t>Instrument regulacyjny: Zarekomendowano, aby w rynku mocy wprowadzić dodatkowe formy wynagradzania za elastyczność jednostek. Pozwoliłoby to na zwiększenie udziału magazynów energii elektrycznej na rynku mocy. Ze względów bilansowych zapewnienie dużej elastyczności generacji/odbioru mocy elektrycznej jest niezwykle istotne w systemie elektroenergetycznym z</w:t>
      </w:r>
      <w:r w:rsidRPr="17A756DD">
        <w:rPr>
          <w:rStyle w:val="normaltextrun"/>
          <w:rFonts w:ascii="Arial" w:eastAsiaTheme="majorEastAsia" w:hAnsi="Arial" w:cs="Arial"/>
          <w:color w:val="222222"/>
          <w:shd w:val="clear" w:color="auto" w:fill="FFFFFF"/>
        </w:rPr>
        <w:t> </w:t>
      </w:r>
      <w:r w:rsidRPr="17A756DD">
        <w:rPr>
          <w:rStyle w:val="normaltextrun"/>
          <w:rFonts w:asciiTheme="minorHAnsi" w:eastAsiaTheme="majorEastAsia" w:hAnsiTheme="minorHAnsi" w:cs="Segoe UI"/>
          <w:color w:val="222222"/>
          <w:shd w:val="clear" w:color="auto" w:fill="FFFFFF"/>
        </w:rPr>
        <w:t>dynamicznie zwi</w:t>
      </w:r>
      <w:r w:rsidRPr="17A756DD">
        <w:rPr>
          <w:rStyle w:val="normaltextrun"/>
          <w:rFonts w:asciiTheme="minorHAnsi" w:eastAsiaTheme="majorEastAsia" w:hAnsiTheme="minorHAnsi" w:cs="Corbel"/>
          <w:color w:val="222222"/>
          <w:shd w:val="clear" w:color="auto" w:fill="FFFFFF"/>
        </w:rPr>
        <w:t>ę</w:t>
      </w:r>
      <w:r w:rsidRPr="17A756DD">
        <w:rPr>
          <w:rStyle w:val="normaltextrun"/>
          <w:rFonts w:asciiTheme="minorHAnsi" w:eastAsiaTheme="majorEastAsia" w:hAnsiTheme="minorHAnsi" w:cs="Segoe UI"/>
          <w:color w:val="222222"/>
          <w:shd w:val="clear" w:color="auto" w:fill="FFFFFF"/>
        </w:rPr>
        <w:t>kszaj</w:t>
      </w:r>
      <w:r w:rsidRPr="17A756DD">
        <w:rPr>
          <w:rStyle w:val="normaltextrun"/>
          <w:rFonts w:asciiTheme="minorHAnsi" w:eastAsiaTheme="majorEastAsia" w:hAnsiTheme="minorHAnsi" w:cs="Corbel"/>
          <w:color w:val="222222"/>
          <w:shd w:val="clear" w:color="auto" w:fill="FFFFFF"/>
        </w:rPr>
        <w:t>ą</w:t>
      </w:r>
      <w:r w:rsidRPr="17A756DD">
        <w:rPr>
          <w:rStyle w:val="normaltextrun"/>
          <w:rFonts w:asciiTheme="minorHAnsi" w:eastAsiaTheme="majorEastAsia" w:hAnsiTheme="minorHAnsi" w:cs="Segoe UI"/>
          <w:color w:val="222222"/>
          <w:shd w:val="clear" w:color="auto" w:fill="FFFFFF"/>
        </w:rPr>
        <w:t>cym si</w:t>
      </w:r>
      <w:r w:rsidRPr="17A756DD">
        <w:rPr>
          <w:rStyle w:val="normaltextrun"/>
          <w:rFonts w:asciiTheme="minorHAnsi" w:eastAsiaTheme="majorEastAsia" w:hAnsiTheme="minorHAnsi" w:cs="Corbel"/>
          <w:color w:val="222222"/>
          <w:shd w:val="clear" w:color="auto" w:fill="FFFFFF"/>
        </w:rPr>
        <w:t>ę</w:t>
      </w:r>
      <w:r w:rsidRPr="17A756DD">
        <w:rPr>
          <w:rStyle w:val="normaltextrun"/>
          <w:rFonts w:asciiTheme="minorHAnsi" w:eastAsiaTheme="majorEastAsia" w:hAnsiTheme="minorHAnsi" w:cs="Segoe UI"/>
          <w:color w:val="222222"/>
          <w:shd w:val="clear" w:color="auto" w:fill="FFFFFF"/>
        </w:rPr>
        <w:t xml:space="preserve"> udzia</w:t>
      </w:r>
      <w:r w:rsidRPr="17A756DD">
        <w:rPr>
          <w:rStyle w:val="normaltextrun"/>
          <w:rFonts w:asciiTheme="minorHAnsi" w:eastAsiaTheme="majorEastAsia" w:hAnsiTheme="minorHAnsi" w:cs="Corbel"/>
          <w:color w:val="222222"/>
          <w:shd w:val="clear" w:color="auto" w:fill="FFFFFF"/>
        </w:rPr>
        <w:t>ł</w:t>
      </w:r>
      <w:r w:rsidRPr="17A756DD">
        <w:rPr>
          <w:rStyle w:val="normaltextrun"/>
          <w:rFonts w:asciiTheme="minorHAnsi" w:eastAsiaTheme="majorEastAsia" w:hAnsiTheme="minorHAnsi" w:cs="Segoe UI"/>
          <w:color w:val="222222"/>
          <w:shd w:val="clear" w:color="auto" w:fill="FFFFFF"/>
        </w:rPr>
        <w:t xml:space="preserve">em </w:t>
      </w:r>
      <w:r w:rsidR="03325E06" w:rsidRPr="17A756DD">
        <w:rPr>
          <w:rStyle w:val="normaltextrun"/>
          <w:rFonts w:asciiTheme="minorHAnsi" w:eastAsiaTheme="majorEastAsia" w:hAnsiTheme="minorHAnsi" w:cs="Segoe UI"/>
          <w:color w:val="222222"/>
          <w:shd w:val="clear" w:color="auto" w:fill="FFFFFF"/>
        </w:rPr>
        <w:t xml:space="preserve">zależnych od pogody </w:t>
      </w:r>
      <w:r w:rsidR="7D28D4B5" w:rsidRPr="19D7A4A9">
        <w:rPr>
          <w:rStyle w:val="normaltextrun"/>
          <w:rFonts w:asciiTheme="minorHAnsi" w:eastAsiaTheme="majorEastAsia" w:hAnsiTheme="minorHAnsi" w:cs="Segoe UI"/>
          <w:color w:val="222222"/>
          <w:shd w:val="clear" w:color="auto" w:fill="FFFFFF"/>
        </w:rPr>
        <w:t>OZE.</w:t>
      </w:r>
    </w:p>
    <w:p w14:paraId="0DF60D37" w14:textId="77777777" w:rsidR="0002383B" w:rsidRPr="00B2191F" w:rsidRDefault="0002383B"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28C40E91" w14:textId="66892035" w:rsidR="00B2191F" w:rsidRPr="0002383B" w:rsidRDefault="004552D2" w:rsidP="0002383B">
      <w:pPr>
        <w:pStyle w:val="Nagwek2"/>
        <w:jc w:val="both"/>
        <w:rPr>
          <w:rStyle w:val="normaltextrun"/>
          <w:rFonts w:ascii="Gill Sans Nova" w:hAnsi="Gill Sans Nova"/>
        </w:rPr>
      </w:pPr>
      <w:r w:rsidRPr="17A756DD">
        <w:rPr>
          <w:rStyle w:val="normaltextrun"/>
          <w:rFonts w:ascii="Gill Sans Nova" w:hAnsi="Gill Sans Nova"/>
          <w:color w:val="0081FB"/>
        </w:rPr>
        <w:t xml:space="preserve">Temat </w:t>
      </w:r>
      <w:r w:rsidR="5939BD61" w:rsidRPr="17A756DD">
        <w:rPr>
          <w:rStyle w:val="normaltextrun"/>
          <w:rFonts w:ascii="Gill Sans Nova" w:hAnsi="Gill Sans Nova"/>
          <w:color w:val="0081FB"/>
        </w:rPr>
        <w:t>1.</w:t>
      </w:r>
      <w:r w:rsidRPr="17A756DD">
        <w:rPr>
          <w:rStyle w:val="normaltextrun"/>
          <w:rFonts w:ascii="Gill Sans Nova" w:hAnsi="Gill Sans Nova"/>
          <w:color w:val="0081FB"/>
        </w:rPr>
        <w:t xml:space="preserve">2: Sieć elektroenergetyczna – finansowanie i zarządzanie; budowa </w:t>
      </w:r>
      <w:proofErr w:type="spellStart"/>
      <w:r w:rsidRPr="17A756DD">
        <w:rPr>
          <w:rStyle w:val="normaltextrun"/>
          <w:rFonts w:ascii="Gill Sans Nova" w:hAnsi="Gill Sans Nova"/>
          <w:color w:val="0081FB"/>
        </w:rPr>
        <w:t>interkonektorów</w:t>
      </w:r>
      <w:proofErr w:type="spellEnd"/>
      <w:r w:rsidRPr="17A756DD">
        <w:rPr>
          <w:rStyle w:val="normaltextrun"/>
          <w:rFonts w:ascii="Gill Sans Nova" w:hAnsi="Gill Sans Nova"/>
          <w:color w:val="0081FB"/>
        </w:rPr>
        <w:t>; sieci prądu stałego</w:t>
      </w:r>
      <w:r w:rsidRPr="17A756DD">
        <w:rPr>
          <w:rStyle w:val="normaltextrun"/>
          <w:rFonts w:ascii="Gill Sans Nova" w:hAnsi="Gill Sans Nova"/>
        </w:rPr>
        <w:t> </w:t>
      </w:r>
    </w:p>
    <w:p w14:paraId="046F87FA" w14:textId="77777777" w:rsidR="00B2191F" w:rsidRPr="0002383B" w:rsidRDefault="00B2191F" w:rsidP="0002383B">
      <w:pPr>
        <w:pStyle w:val="paragraph"/>
        <w:shd w:val="clear" w:color="auto" w:fill="FFFFFF"/>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Działanie #1: Integracja sieci trakcyjnej z instalacjami OZE i magazynami energii </w:t>
      </w:r>
      <w:r w:rsidRPr="0002383B">
        <w:rPr>
          <w:rStyle w:val="normaltextrun"/>
          <w:rFonts w:eastAsiaTheme="majorEastAsia"/>
          <w:b/>
          <w:bCs/>
          <w:color w:val="222222"/>
          <w:shd w:val="clear" w:color="auto" w:fill="FFFFFF"/>
        </w:rPr>
        <w:t> </w:t>
      </w:r>
    </w:p>
    <w:p w14:paraId="45C0373F" w14:textId="3E84865D" w:rsidR="00B2191F" w:rsidRDefault="00B2191F" w:rsidP="00B2191F">
      <w:pPr>
        <w:pStyle w:val="paragraph"/>
        <w:shd w:val="clear" w:color="auto" w:fill="FFFFFF"/>
        <w:spacing w:before="0" w:beforeAutospacing="0" w:after="0" w:afterAutospacing="0"/>
        <w:jc w:val="both"/>
        <w:textAlignment w:val="baseline"/>
        <w:rPr>
          <w:rStyle w:val="eop"/>
          <w:rFonts w:asciiTheme="minorHAnsi" w:eastAsiaTheme="majorEastAsia" w:hAnsiTheme="minorHAnsi" w:cs="Segoe UI"/>
          <w:color w:val="222222"/>
        </w:rPr>
      </w:pPr>
      <w:r w:rsidRPr="00B2191F">
        <w:rPr>
          <w:rStyle w:val="normaltextrun"/>
          <w:rFonts w:asciiTheme="minorHAnsi" w:eastAsiaTheme="majorEastAsia" w:hAnsiTheme="minorHAnsi" w:cs="Segoe UI"/>
          <w:color w:val="222222"/>
          <w:shd w:val="clear" w:color="auto" w:fill="FFFFFF"/>
        </w:rPr>
        <w:t>Instrument dot. planowania: Zarekomendowano rozwój strategii integracji źródeł OZE i</w:t>
      </w:r>
      <w:r w:rsidRPr="00B2191F">
        <w:rPr>
          <w:rStyle w:val="normaltextrun"/>
          <w:rFonts w:ascii="Arial" w:eastAsiaTheme="majorEastAsia" w:hAnsi="Arial" w:cs="Arial"/>
          <w:color w:val="222222"/>
          <w:shd w:val="clear" w:color="auto" w:fill="FFFFFF"/>
        </w:rPr>
        <w:t> </w:t>
      </w:r>
      <w:r w:rsidRPr="00B2191F">
        <w:rPr>
          <w:rStyle w:val="normaltextrun"/>
          <w:rFonts w:asciiTheme="minorHAnsi" w:eastAsiaTheme="majorEastAsia" w:hAnsiTheme="minorHAnsi" w:cs="Segoe UI"/>
          <w:color w:val="222222"/>
          <w:shd w:val="clear" w:color="auto" w:fill="FFFFFF"/>
        </w:rPr>
        <w:t>magazynów energii elektrycznej z siecią trakcyjną (stałoprądową). Obecnie podstacje trakcyjne zasilane są z lokalnych sieci dystrybucyjnych i charakteryzują się dużą nieregularnością zapotrzebowania na moc, co jest niekorzystne z punktu sieciowego. Integracja źródeł OZE i magazynów energii elektrycznej z siecią stałoprądową pozwoli zmniejszyć szczytowe zapotrzebowane na moc w podstacjach trakcyjnych, a tym samym ograniczyć pobór mocy z sieci dystrybucyjnych. Ponadto sieć trakcyjna mogłaby w elastyczny sposób współpracować z KSE będąc swojego rodzaju rozproszonym magazynem energii elektrycznej.</w:t>
      </w:r>
    </w:p>
    <w:p w14:paraId="54778962" w14:textId="77777777" w:rsidR="0002383B" w:rsidRPr="00B2191F" w:rsidRDefault="0002383B"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7A1432EA" w14:textId="08DE53D7" w:rsidR="00B2191F" w:rsidRPr="0002383B" w:rsidRDefault="00B2191F" w:rsidP="0002383B">
      <w:pPr>
        <w:pStyle w:val="paragraph"/>
        <w:shd w:val="clear" w:color="auto" w:fill="FFFFFF"/>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Działanie #2: Umożliwienie jednostkom samorządu terytorialnego wytwarzania i sprzedaży energii elektrycznej</w:t>
      </w:r>
    </w:p>
    <w:p w14:paraId="73F242B3" w14:textId="54430D69" w:rsidR="00B2191F" w:rsidRDefault="00B2191F" w:rsidP="00B2191F">
      <w:pPr>
        <w:pStyle w:val="paragraph"/>
        <w:shd w:val="clear" w:color="auto" w:fill="FFFFFF"/>
        <w:spacing w:before="0" w:beforeAutospacing="0" w:after="0" w:afterAutospacing="0"/>
        <w:jc w:val="both"/>
        <w:textAlignment w:val="baseline"/>
        <w:rPr>
          <w:rStyle w:val="eop"/>
          <w:rFonts w:asciiTheme="minorHAnsi" w:eastAsiaTheme="majorEastAsia" w:hAnsiTheme="minorHAnsi" w:cs="Segoe UI"/>
          <w:color w:val="222222"/>
        </w:rPr>
      </w:pPr>
      <w:r w:rsidRPr="00B2191F">
        <w:rPr>
          <w:rStyle w:val="normaltextrun"/>
          <w:rFonts w:asciiTheme="minorHAnsi" w:eastAsiaTheme="majorEastAsia" w:hAnsiTheme="minorHAnsi" w:cs="Segoe UI"/>
          <w:color w:val="222222"/>
          <w:shd w:val="clear" w:color="auto" w:fill="FFFFFF"/>
        </w:rPr>
        <w:t>Instrument regulacyjny: Zarekomendowano, aby wprowadzić możliwość wytwarzania i sprzedaży energii elektrycznej przez jednostki samorządu terytorialnego. Pozwoli to zwiększyć samowystarczalność energetyczną samorządów oraz przyśpieszyć rozwój lokalnych źródeł OZE.</w:t>
      </w:r>
    </w:p>
    <w:p w14:paraId="10669A69" w14:textId="77777777" w:rsidR="0002383B" w:rsidRPr="00B2191F" w:rsidRDefault="0002383B"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2FF5CB6F" w14:textId="77777777" w:rsidR="00B2191F" w:rsidRPr="0002383B" w:rsidRDefault="00B2191F" w:rsidP="19D7A4A9">
      <w:pPr>
        <w:pStyle w:val="paragraph"/>
        <w:shd w:val="clear" w:color="auto" w:fill="FFFFFF" w:themeFill="background1"/>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 xml:space="preserve">Działanie #3: Doprecyzowanie przepisów nt. </w:t>
      </w:r>
      <w:proofErr w:type="spellStart"/>
      <w:r w:rsidRPr="0002383B">
        <w:rPr>
          <w:rStyle w:val="normaltextrun"/>
          <w:rFonts w:asciiTheme="minorHAnsi" w:eastAsiaTheme="majorEastAsia" w:hAnsiTheme="minorHAnsi" w:cs="Segoe UI"/>
          <w:b/>
          <w:bCs/>
          <w:color w:val="222222"/>
          <w:shd w:val="clear" w:color="auto" w:fill="FFFFFF"/>
        </w:rPr>
        <w:t>cable</w:t>
      </w:r>
      <w:proofErr w:type="spellEnd"/>
      <w:r w:rsidRPr="0002383B">
        <w:rPr>
          <w:rStyle w:val="normaltextrun"/>
          <w:rFonts w:asciiTheme="minorHAnsi" w:eastAsiaTheme="majorEastAsia" w:hAnsiTheme="minorHAnsi" w:cs="Segoe UI"/>
          <w:b/>
          <w:bCs/>
          <w:color w:val="222222"/>
          <w:shd w:val="clear" w:color="auto" w:fill="FFFFFF"/>
        </w:rPr>
        <w:t xml:space="preserve"> </w:t>
      </w:r>
      <w:proofErr w:type="spellStart"/>
      <w:r w:rsidRPr="0002383B">
        <w:rPr>
          <w:rStyle w:val="normaltextrun"/>
          <w:rFonts w:asciiTheme="minorHAnsi" w:eastAsiaTheme="majorEastAsia" w:hAnsiTheme="minorHAnsi" w:cs="Segoe UI"/>
          <w:b/>
          <w:bCs/>
          <w:color w:val="222222"/>
          <w:shd w:val="clear" w:color="auto" w:fill="FFFFFF"/>
        </w:rPr>
        <w:t>pooling</w:t>
      </w:r>
      <w:proofErr w:type="spellEnd"/>
      <w:r w:rsidRPr="0002383B">
        <w:rPr>
          <w:rStyle w:val="normaltextrun"/>
          <w:rFonts w:eastAsiaTheme="majorEastAsia"/>
          <w:b/>
          <w:bCs/>
          <w:color w:val="222222"/>
          <w:shd w:val="clear" w:color="auto" w:fill="FFFFFF"/>
        </w:rPr>
        <w:t> </w:t>
      </w:r>
    </w:p>
    <w:p w14:paraId="038A254A" w14:textId="4B3E6285" w:rsidR="00B2191F" w:rsidRDefault="00B2191F" w:rsidP="00B2191F">
      <w:pPr>
        <w:pStyle w:val="paragraph"/>
        <w:shd w:val="clear" w:color="auto" w:fill="FFFFFF"/>
        <w:spacing w:before="0" w:beforeAutospacing="0" w:after="0" w:afterAutospacing="0"/>
        <w:jc w:val="both"/>
        <w:textAlignment w:val="baseline"/>
        <w:rPr>
          <w:rStyle w:val="eop"/>
          <w:rFonts w:asciiTheme="minorHAnsi" w:eastAsiaTheme="majorEastAsia" w:hAnsiTheme="minorHAnsi" w:cs="Segoe UI"/>
          <w:color w:val="222222"/>
        </w:rPr>
      </w:pPr>
      <w:r w:rsidRPr="00B2191F">
        <w:rPr>
          <w:rStyle w:val="normaltextrun"/>
          <w:rFonts w:asciiTheme="minorHAnsi" w:eastAsiaTheme="majorEastAsia" w:hAnsiTheme="minorHAnsi" w:cs="Segoe UI"/>
          <w:color w:val="222222"/>
          <w:shd w:val="clear" w:color="auto" w:fill="FFFFFF"/>
        </w:rPr>
        <w:lastRenderedPageBreak/>
        <w:t>Instrument regulacyjny: Obecnie przepisy prawne pozwalają na przyłączenie kilku instalacji OZE należących do różnych podmiotów w jednym miejscu przyłączenia. Zarekomendowano, aby przepis ten rozszerzyć o możliwość przyłączania instalacji OZE oraz magazynów energii elektrycznej w jednym miejscu przyłączenia.</w:t>
      </w:r>
    </w:p>
    <w:p w14:paraId="13CF8C68" w14:textId="77777777" w:rsidR="0002383B" w:rsidRPr="00B2191F" w:rsidRDefault="0002383B"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65C531B1" w14:textId="77777777" w:rsidR="00B2191F" w:rsidRPr="0002383B" w:rsidRDefault="00B2191F" w:rsidP="0002383B">
      <w:pPr>
        <w:pStyle w:val="paragraph"/>
        <w:shd w:val="clear" w:color="auto" w:fill="FFFFFF"/>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Działanie #4: Zmiana sposobu wyznaczania ceny referencyjnej na aukcje OZE dla hybrydowych instalacji OZE</w:t>
      </w:r>
      <w:r w:rsidRPr="0002383B">
        <w:rPr>
          <w:rStyle w:val="normaltextrun"/>
          <w:rFonts w:eastAsiaTheme="majorEastAsia"/>
          <w:b/>
          <w:bCs/>
          <w:color w:val="222222"/>
          <w:shd w:val="clear" w:color="auto" w:fill="FFFFFF"/>
        </w:rPr>
        <w:t> </w:t>
      </w:r>
    </w:p>
    <w:p w14:paraId="59103AC7" w14:textId="77777777" w:rsidR="00B2191F" w:rsidRPr="00B2191F" w:rsidRDefault="004552D2" w:rsidP="17A756DD">
      <w:pPr>
        <w:pStyle w:val="paragraph"/>
        <w:shd w:val="clear" w:color="auto" w:fill="FFFFFF" w:themeFill="background1"/>
        <w:spacing w:before="0" w:beforeAutospacing="0" w:after="0" w:afterAutospacing="0"/>
        <w:jc w:val="both"/>
        <w:textAlignment w:val="baseline"/>
        <w:rPr>
          <w:rFonts w:asciiTheme="minorHAnsi" w:hAnsiTheme="minorHAnsi" w:cs="Segoe UI"/>
          <w:color w:val="222222"/>
          <w:sz w:val="18"/>
          <w:szCs w:val="18"/>
        </w:rPr>
      </w:pPr>
      <w:r w:rsidRPr="17A756DD">
        <w:rPr>
          <w:rStyle w:val="normaltextrun"/>
          <w:rFonts w:asciiTheme="minorHAnsi" w:eastAsiaTheme="majorEastAsia" w:hAnsiTheme="minorHAnsi" w:cs="Segoe UI"/>
          <w:color w:val="222222"/>
          <w:shd w:val="clear" w:color="auto" w:fill="FFFFFF"/>
        </w:rPr>
        <w:t>Instrument regulacyjny: Budowa instalacji hybrydowych OZE o wysokim współczynniku wykorzystania mocy przyłączeniowej z punktu widzenia ograniczeń sieciowych jest lepsza niż budowa oddzielnych instalacji fotowoltaicznych i wiatrowych. Aby zachęcić inwestorów do budowy instalacji hybrydowych OZE, ceny referencyjne dla tych instalacji powinny być odpowiednio wyższe niż ceny referencyjne dla instalacji fotowoltaicznych i wiatrowych (tak aby uwzględnić koszty budowy magazynu energii oraz przewymiarowania mocy elektrycznych instalacji OZE względem mocy przyłączeniowej). Stąd też zarekomendowano zmianę sposobu wyznaczania ceny referencyjnych na aukcji OZE dla instalacji hybrydowych OZE.</w:t>
      </w:r>
      <w:r w:rsidRPr="17A756DD">
        <w:rPr>
          <w:rStyle w:val="eop"/>
          <w:rFonts w:asciiTheme="minorHAnsi" w:eastAsiaTheme="majorEastAsia" w:hAnsiTheme="minorHAnsi" w:cs="Segoe UI"/>
          <w:color w:val="222222"/>
        </w:rPr>
        <w:t> </w:t>
      </w:r>
    </w:p>
    <w:p w14:paraId="5EABB836" w14:textId="70D67B53" w:rsidR="00B2191F" w:rsidRPr="0002383B" w:rsidRDefault="00B2191F" w:rsidP="0002383B">
      <w:pPr>
        <w:pStyle w:val="Nagwek2"/>
        <w:jc w:val="both"/>
        <w:rPr>
          <w:rStyle w:val="normaltextrun"/>
          <w:rFonts w:ascii="Gill Sans Nova" w:hAnsi="Gill Sans Nova"/>
        </w:rPr>
      </w:pPr>
      <w:r w:rsidRPr="0002383B">
        <w:rPr>
          <w:rStyle w:val="normaltextrun"/>
          <w:color w:val="0081FB"/>
        </w:rPr>
        <w:t>Temat</w:t>
      </w:r>
      <w:r w:rsidRPr="0002383B">
        <w:rPr>
          <w:rStyle w:val="normaltextrun"/>
          <w:rFonts w:ascii="Gill Sans Nova" w:hAnsi="Gill Sans Nova"/>
          <w:color w:val="0081FB"/>
        </w:rPr>
        <w:t xml:space="preserve"> </w:t>
      </w:r>
      <w:r w:rsidR="0002383B">
        <w:rPr>
          <w:rStyle w:val="normaltextrun"/>
          <w:rFonts w:ascii="Gill Sans Nova" w:hAnsi="Gill Sans Nova"/>
          <w:color w:val="0081FB"/>
        </w:rPr>
        <w:t>1.3</w:t>
      </w:r>
      <w:r w:rsidRPr="0002383B">
        <w:rPr>
          <w:rStyle w:val="normaltextrun"/>
          <w:rFonts w:ascii="Gill Sans Nova" w:hAnsi="Gill Sans Nova"/>
          <w:color w:val="0081FB"/>
        </w:rPr>
        <w:t>: Elektryfikacja ciepłownictwa i ogrzewnictwa; wykorzystanie magazynów ciepła</w:t>
      </w:r>
      <w:r w:rsidRPr="0002383B">
        <w:rPr>
          <w:rStyle w:val="normaltextrun"/>
          <w:rFonts w:ascii="Gill Sans Nova" w:hAnsi="Gill Sans Nova"/>
        </w:rPr>
        <w:t> </w:t>
      </w:r>
    </w:p>
    <w:p w14:paraId="7CC6DA3D" w14:textId="4BDD55A4" w:rsidR="00B2191F" w:rsidRPr="0002383B" w:rsidRDefault="00B2191F" w:rsidP="0002383B">
      <w:pPr>
        <w:pStyle w:val="paragraph"/>
        <w:shd w:val="clear" w:color="auto" w:fill="FFFFFF"/>
        <w:spacing w:before="0" w:beforeAutospacing="0" w:after="0" w:afterAutospacing="0"/>
        <w:jc w:val="both"/>
        <w:textAlignment w:val="baseline"/>
        <w:rPr>
          <w:rFonts w:asciiTheme="minorHAnsi" w:hAnsiTheme="minorHAnsi" w:cs="Segoe UI"/>
          <w:b/>
          <w:bCs/>
          <w:color w:val="0081FB"/>
          <w:sz w:val="26"/>
          <w:szCs w:val="26"/>
        </w:rPr>
      </w:pPr>
      <w:r w:rsidRPr="0002383B">
        <w:rPr>
          <w:rStyle w:val="normaltextrun"/>
          <w:rFonts w:asciiTheme="minorHAnsi" w:eastAsiaTheme="majorEastAsia" w:hAnsiTheme="minorHAnsi" w:cs="Segoe UI"/>
          <w:b/>
          <w:bCs/>
          <w:color w:val="222222"/>
          <w:shd w:val="clear" w:color="auto" w:fill="FFFFFF"/>
        </w:rPr>
        <w:t xml:space="preserve">Działanie #1: </w:t>
      </w:r>
      <w:r w:rsidR="00D0224C">
        <w:rPr>
          <w:rStyle w:val="normaltextrun"/>
          <w:rFonts w:asciiTheme="minorHAnsi" w:eastAsiaTheme="majorEastAsia" w:hAnsiTheme="minorHAnsi" w:cs="Segoe UI"/>
          <w:b/>
          <w:bCs/>
          <w:color w:val="222222"/>
          <w:shd w:val="clear" w:color="auto" w:fill="FFFFFF"/>
        </w:rPr>
        <w:t xml:space="preserve">Kompleksowa </w:t>
      </w:r>
      <w:r w:rsidRPr="0002383B">
        <w:rPr>
          <w:rStyle w:val="normaltextrun"/>
          <w:rFonts w:asciiTheme="minorHAnsi" w:eastAsiaTheme="majorEastAsia" w:hAnsiTheme="minorHAnsi" w:cs="Segoe UI"/>
          <w:b/>
          <w:bCs/>
          <w:color w:val="222222"/>
          <w:shd w:val="clear" w:color="auto" w:fill="FFFFFF"/>
        </w:rPr>
        <w:t xml:space="preserve">modernizacja </w:t>
      </w:r>
      <w:r w:rsidR="00D0224C">
        <w:rPr>
          <w:rStyle w:val="normaltextrun"/>
          <w:rFonts w:asciiTheme="minorHAnsi" w:eastAsiaTheme="majorEastAsia" w:hAnsiTheme="minorHAnsi" w:cs="Segoe UI"/>
          <w:b/>
          <w:bCs/>
          <w:color w:val="222222"/>
          <w:shd w:val="clear" w:color="auto" w:fill="FFFFFF"/>
        </w:rPr>
        <w:t xml:space="preserve">energetyczna </w:t>
      </w:r>
      <w:r w:rsidRPr="0002383B">
        <w:rPr>
          <w:rStyle w:val="normaltextrun"/>
          <w:rFonts w:asciiTheme="minorHAnsi" w:eastAsiaTheme="majorEastAsia" w:hAnsiTheme="minorHAnsi" w:cs="Segoe UI"/>
          <w:b/>
          <w:bCs/>
          <w:color w:val="222222"/>
          <w:shd w:val="clear" w:color="auto" w:fill="FFFFFF"/>
        </w:rPr>
        <w:t>budynków</w:t>
      </w:r>
      <w:r w:rsidRPr="0002383B">
        <w:rPr>
          <w:rStyle w:val="normaltextrun"/>
          <w:rFonts w:eastAsiaTheme="majorEastAsia"/>
          <w:b/>
          <w:bCs/>
          <w:color w:val="222222"/>
          <w:shd w:val="clear" w:color="auto" w:fill="FFFFFF"/>
        </w:rPr>
        <w:t> </w:t>
      </w:r>
    </w:p>
    <w:p w14:paraId="73AF4234" w14:textId="2810C82C" w:rsidR="00B2191F" w:rsidRDefault="00B2191F" w:rsidP="00B2191F">
      <w:pPr>
        <w:pStyle w:val="paragraph"/>
        <w:shd w:val="clear" w:color="auto" w:fill="FFFFFF"/>
        <w:spacing w:before="0" w:beforeAutospacing="0" w:after="0" w:afterAutospacing="0"/>
        <w:jc w:val="both"/>
        <w:textAlignment w:val="baseline"/>
        <w:rPr>
          <w:rStyle w:val="normaltextrun"/>
          <w:rFonts w:asciiTheme="minorHAnsi" w:eastAsiaTheme="majorEastAsia" w:hAnsiTheme="minorHAnsi" w:cs="Segoe UI"/>
          <w:color w:val="222222"/>
          <w:shd w:val="clear" w:color="auto" w:fill="FFFFFF"/>
        </w:rPr>
      </w:pPr>
      <w:r w:rsidRPr="00B2191F">
        <w:rPr>
          <w:rStyle w:val="normaltextrun"/>
          <w:rFonts w:asciiTheme="minorHAnsi" w:eastAsiaTheme="majorEastAsia" w:hAnsiTheme="minorHAnsi" w:cs="Segoe UI"/>
          <w:color w:val="222222"/>
          <w:shd w:val="clear" w:color="auto" w:fill="FFFFFF"/>
        </w:rPr>
        <w:t xml:space="preserve">Instrument finansowy: Zarekomendowano kontynuację wparcia finansowego </w:t>
      </w:r>
      <w:r w:rsidR="00F90864">
        <w:rPr>
          <w:rStyle w:val="normaltextrun"/>
          <w:rFonts w:asciiTheme="minorHAnsi" w:eastAsiaTheme="majorEastAsia" w:hAnsiTheme="minorHAnsi" w:cs="Segoe UI"/>
          <w:color w:val="222222"/>
          <w:shd w:val="clear" w:color="auto" w:fill="FFFFFF"/>
        </w:rPr>
        <w:t xml:space="preserve">kompleksowej </w:t>
      </w:r>
      <w:r w:rsidRPr="00B2191F">
        <w:rPr>
          <w:rStyle w:val="normaltextrun"/>
          <w:rFonts w:asciiTheme="minorHAnsi" w:eastAsiaTheme="majorEastAsia" w:hAnsiTheme="minorHAnsi" w:cs="Segoe UI"/>
          <w:color w:val="222222"/>
          <w:shd w:val="clear" w:color="auto" w:fill="FFFFFF"/>
        </w:rPr>
        <w:t xml:space="preserve">modernizacji </w:t>
      </w:r>
      <w:r w:rsidR="00D0224C">
        <w:rPr>
          <w:rStyle w:val="normaltextrun"/>
          <w:rFonts w:asciiTheme="minorHAnsi" w:eastAsiaTheme="majorEastAsia" w:hAnsiTheme="minorHAnsi" w:cs="Segoe UI"/>
          <w:color w:val="222222"/>
          <w:shd w:val="clear" w:color="auto" w:fill="FFFFFF"/>
        </w:rPr>
        <w:t xml:space="preserve">energetycznej </w:t>
      </w:r>
      <w:r w:rsidRPr="00B2191F">
        <w:rPr>
          <w:rStyle w:val="normaltextrun"/>
          <w:rFonts w:asciiTheme="minorHAnsi" w:eastAsiaTheme="majorEastAsia" w:hAnsiTheme="minorHAnsi" w:cs="Segoe UI"/>
          <w:color w:val="222222"/>
          <w:shd w:val="clear" w:color="auto" w:fill="FFFFFF"/>
        </w:rPr>
        <w:t>budynków oraz wymiany źródeł ciepła na pompy ciepła.</w:t>
      </w:r>
      <w:r w:rsidR="00C87E62">
        <w:rPr>
          <w:rStyle w:val="normaltextrun"/>
          <w:rFonts w:asciiTheme="minorHAnsi" w:eastAsiaTheme="majorEastAsia" w:hAnsiTheme="minorHAnsi" w:cs="Segoe UI"/>
          <w:color w:val="222222"/>
          <w:shd w:val="clear" w:color="auto" w:fill="FFFFFF"/>
        </w:rPr>
        <w:t xml:space="preserve"> Wskazano,</w:t>
      </w:r>
      <w:r w:rsidR="005B7C81">
        <w:rPr>
          <w:rStyle w:val="normaltextrun"/>
          <w:rFonts w:asciiTheme="minorHAnsi" w:eastAsiaTheme="majorEastAsia" w:hAnsiTheme="minorHAnsi" w:cs="Segoe UI"/>
          <w:color w:val="222222"/>
          <w:shd w:val="clear" w:color="auto" w:fill="FFFFFF"/>
        </w:rPr>
        <w:t xml:space="preserve"> iż przy termomodernizacji należy uwzględnić potencjał oszczędności wynikający z optymalizacji systemów t</w:t>
      </w:r>
      <w:r w:rsidR="00092C62">
        <w:rPr>
          <w:rStyle w:val="normaltextrun"/>
          <w:rFonts w:asciiTheme="minorHAnsi" w:eastAsiaTheme="majorEastAsia" w:hAnsiTheme="minorHAnsi" w:cs="Segoe UI"/>
          <w:color w:val="222222"/>
          <w:shd w:val="clear" w:color="auto" w:fill="FFFFFF"/>
        </w:rPr>
        <w:t>echni</w:t>
      </w:r>
      <w:r w:rsidR="006319BE">
        <w:rPr>
          <w:rStyle w:val="normaltextrun"/>
          <w:rFonts w:asciiTheme="minorHAnsi" w:eastAsiaTheme="majorEastAsia" w:hAnsiTheme="minorHAnsi" w:cs="Segoe UI"/>
          <w:color w:val="222222"/>
          <w:shd w:val="clear" w:color="auto" w:fill="FFFFFF"/>
        </w:rPr>
        <w:t>cznych budynku.</w:t>
      </w:r>
    </w:p>
    <w:p w14:paraId="64CFC2A0" w14:textId="77777777" w:rsidR="0002383B" w:rsidRPr="00B2191F" w:rsidRDefault="0002383B"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258BC266" w14:textId="77777777" w:rsidR="00B2191F" w:rsidRPr="0002383B" w:rsidRDefault="00B2191F" w:rsidP="0002383B">
      <w:pPr>
        <w:pStyle w:val="paragraph"/>
        <w:shd w:val="clear" w:color="auto" w:fill="FFFFFF"/>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Działanie #2: Wykorzystanie elektryfikacji i magazynów ciepła na rynku elastyczności</w:t>
      </w:r>
      <w:r w:rsidRPr="0002383B">
        <w:rPr>
          <w:rStyle w:val="normaltextrun"/>
          <w:rFonts w:eastAsiaTheme="majorEastAsia"/>
          <w:b/>
          <w:bCs/>
          <w:color w:val="222222"/>
          <w:shd w:val="clear" w:color="auto" w:fill="FFFFFF"/>
        </w:rPr>
        <w:t> </w:t>
      </w:r>
    </w:p>
    <w:p w14:paraId="7DAD801E" w14:textId="116A5B9B" w:rsidR="00B2191F" w:rsidRDefault="00B2191F" w:rsidP="00B2191F">
      <w:pPr>
        <w:pStyle w:val="paragraph"/>
        <w:shd w:val="clear" w:color="auto" w:fill="FFFFFF"/>
        <w:spacing w:before="0" w:beforeAutospacing="0" w:after="0" w:afterAutospacing="0"/>
        <w:jc w:val="both"/>
        <w:textAlignment w:val="baseline"/>
        <w:rPr>
          <w:rStyle w:val="eop"/>
          <w:rFonts w:asciiTheme="minorHAnsi" w:eastAsiaTheme="majorEastAsia" w:hAnsiTheme="minorHAnsi" w:cs="Segoe UI"/>
          <w:color w:val="222222"/>
        </w:rPr>
      </w:pPr>
      <w:r w:rsidRPr="00B2191F">
        <w:rPr>
          <w:rStyle w:val="normaltextrun"/>
          <w:rFonts w:asciiTheme="minorHAnsi" w:eastAsiaTheme="majorEastAsia" w:hAnsiTheme="minorHAnsi" w:cs="Segoe UI"/>
          <w:color w:val="222222"/>
          <w:shd w:val="clear" w:color="auto" w:fill="FFFFFF"/>
        </w:rPr>
        <w:t>Instrument dot. planowania: Zarekomendowano strategię elektryfikacji odbiorców przemysłowych zintegrowaną z budową magazynów ciepła. Dzięki wykorzystaniu magazynu ciepła ładowanego zelektryfikowanym źródeł ciepła (pompą ciepła/kotłem elektrodowym itd.) odbiorcy przemysłowi mogliby świadczyć usługi elastyczności na rzecz operatorów sieci elektroenergetycznych.</w:t>
      </w:r>
    </w:p>
    <w:p w14:paraId="623366E8" w14:textId="77777777" w:rsidR="0002383B" w:rsidRPr="00B2191F" w:rsidRDefault="0002383B"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04190087" w14:textId="77777777" w:rsidR="00B2191F" w:rsidRPr="0002383B" w:rsidRDefault="00B2191F" w:rsidP="0002383B">
      <w:pPr>
        <w:pStyle w:val="paragraph"/>
        <w:shd w:val="clear" w:color="auto" w:fill="FFFFFF"/>
        <w:spacing w:before="0" w:beforeAutospacing="0" w:after="0" w:afterAutospacing="0"/>
        <w:jc w:val="both"/>
        <w:textAlignment w:val="baseline"/>
        <w:rPr>
          <w:rStyle w:val="normaltextrun"/>
          <w:rFonts w:eastAsiaTheme="majorEastAsia"/>
          <w:b/>
          <w:bCs/>
          <w:color w:val="222222"/>
          <w:shd w:val="clear" w:color="auto" w:fill="FFFFFF"/>
        </w:rPr>
      </w:pPr>
      <w:r w:rsidRPr="0002383B">
        <w:rPr>
          <w:rStyle w:val="normaltextrun"/>
          <w:rFonts w:asciiTheme="minorHAnsi" w:eastAsiaTheme="majorEastAsia" w:hAnsiTheme="minorHAnsi" w:cs="Segoe UI"/>
          <w:b/>
          <w:bCs/>
          <w:color w:val="222222"/>
          <w:shd w:val="clear" w:color="auto" w:fill="FFFFFF"/>
        </w:rPr>
        <w:t>Działanie #3: Wykorzystanie potencjału odzysku ciepła w ciepłownictwie</w:t>
      </w:r>
      <w:r w:rsidRPr="0002383B">
        <w:rPr>
          <w:rStyle w:val="normaltextrun"/>
          <w:rFonts w:eastAsiaTheme="majorEastAsia"/>
          <w:b/>
          <w:bCs/>
          <w:color w:val="222222"/>
          <w:shd w:val="clear" w:color="auto" w:fill="FFFFFF"/>
        </w:rPr>
        <w:t> </w:t>
      </w:r>
    </w:p>
    <w:p w14:paraId="4E35F7CF" w14:textId="383FBF1F" w:rsidR="00B2191F" w:rsidRPr="00B2191F" w:rsidRDefault="00B2191F"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r w:rsidRPr="00B2191F">
        <w:rPr>
          <w:rStyle w:val="normaltextrun"/>
          <w:rFonts w:asciiTheme="minorHAnsi" w:eastAsiaTheme="majorEastAsia" w:hAnsiTheme="minorHAnsi" w:cs="Segoe UI"/>
          <w:color w:val="222222"/>
          <w:shd w:val="clear" w:color="auto" w:fill="FFFFFF"/>
        </w:rPr>
        <w:t xml:space="preserve">Instrument dot. planowania: Zarekomendowano wypracowanie strategii wykorzystania ciepła odpadowego w ciepłownictwie </w:t>
      </w:r>
      <w:r w:rsidR="002536CB">
        <w:rPr>
          <w:rStyle w:val="normaltextrun"/>
          <w:rFonts w:asciiTheme="minorHAnsi" w:eastAsiaTheme="majorEastAsia" w:hAnsiTheme="minorHAnsi" w:cs="Segoe UI"/>
          <w:color w:val="222222"/>
          <w:shd w:val="clear" w:color="auto" w:fill="FFFFFF"/>
        </w:rPr>
        <w:t xml:space="preserve">z lokalnych źródeł takich jak miejskie oczyszczalnie ścieków, stacje metra, </w:t>
      </w:r>
      <w:r w:rsidR="00C725AA">
        <w:rPr>
          <w:rStyle w:val="normaltextrun"/>
          <w:rFonts w:asciiTheme="minorHAnsi" w:eastAsiaTheme="majorEastAsia" w:hAnsiTheme="minorHAnsi" w:cs="Segoe UI"/>
          <w:color w:val="222222"/>
          <w:shd w:val="clear" w:color="auto" w:fill="FFFFFF"/>
        </w:rPr>
        <w:t xml:space="preserve">ośrodków </w:t>
      </w:r>
      <w:r w:rsidR="00B31F35">
        <w:rPr>
          <w:rStyle w:val="normaltextrun"/>
          <w:rFonts w:asciiTheme="minorHAnsi" w:eastAsiaTheme="majorEastAsia" w:hAnsiTheme="minorHAnsi" w:cs="Segoe UI"/>
          <w:color w:val="222222"/>
          <w:shd w:val="clear" w:color="auto" w:fill="FFFFFF"/>
        </w:rPr>
        <w:t>data</w:t>
      </w:r>
      <w:r w:rsidR="00DE0D83">
        <w:rPr>
          <w:rStyle w:val="normaltextrun"/>
          <w:rFonts w:asciiTheme="minorHAnsi" w:eastAsiaTheme="majorEastAsia" w:hAnsiTheme="minorHAnsi" w:cs="Segoe UI"/>
          <w:color w:val="222222"/>
          <w:shd w:val="clear" w:color="auto" w:fill="FFFFFF"/>
        </w:rPr>
        <w:t xml:space="preserve"> </w:t>
      </w:r>
      <w:proofErr w:type="spellStart"/>
      <w:r w:rsidR="00DE0D83">
        <w:rPr>
          <w:rStyle w:val="normaltextrun"/>
          <w:rFonts w:asciiTheme="minorHAnsi" w:eastAsiaTheme="majorEastAsia" w:hAnsiTheme="minorHAnsi" w:cs="Segoe UI"/>
          <w:color w:val="222222"/>
          <w:shd w:val="clear" w:color="auto" w:fill="FFFFFF"/>
        </w:rPr>
        <w:t>center</w:t>
      </w:r>
      <w:proofErr w:type="spellEnd"/>
      <w:r w:rsidR="00C725AA">
        <w:rPr>
          <w:rStyle w:val="normaltextrun"/>
          <w:rFonts w:asciiTheme="minorHAnsi" w:eastAsiaTheme="majorEastAsia" w:hAnsiTheme="minorHAnsi" w:cs="Segoe UI"/>
          <w:color w:val="222222"/>
          <w:shd w:val="clear" w:color="auto" w:fill="FFFFFF"/>
        </w:rPr>
        <w:t>.</w:t>
      </w:r>
    </w:p>
    <w:p w14:paraId="0770A5F5" w14:textId="3558C118" w:rsidR="00B2191F" w:rsidRPr="00B2191F" w:rsidRDefault="00B2191F" w:rsidP="00B2191F">
      <w:pPr>
        <w:pStyle w:val="paragraph"/>
        <w:shd w:val="clear" w:color="auto" w:fill="FFFFFF"/>
        <w:spacing w:before="0" w:beforeAutospacing="0" w:after="0" w:afterAutospacing="0"/>
        <w:jc w:val="both"/>
        <w:textAlignment w:val="baseline"/>
        <w:rPr>
          <w:rFonts w:asciiTheme="minorHAnsi" w:hAnsiTheme="minorHAnsi" w:cs="Segoe UI"/>
          <w:color w:val="222222"/>
          <w:sz w:val="18"/>
          <w:szCs w:val="18"/>
        </w:rPr>
      </w:pPr>
    </w:p>
    <w:p w14:paraId="3D76CED4" w14:textId="11E9741C" w:rsidR="00B2191F" w:rsidRDefault="00B2191F">
      <w:pPr>
        <w:rPr>
          <w:rFonts w:ascii="Gill Sans Nova" w:eastAsia="Times New Roman" w:hAnsi="Gill Sans Nova" w:cs="Times New Roman"/>
          <w:color w:val="0081FB"/>
          <w:sz w:val="32"/>
          <w:szCs w:val="32"/>
        </w:rPr>
      </w:pPr>
      <w:r>
        <w:rPr>
          <w:rFonts w:ascii="Gill Sans Nova" w:eastAsia="Times New Roman" w:hAnsi="Gill Sans Nova" w:cs="Times New Roman"/>
          <w:color w:val="0081FB"/>
          <w:sz w:val="32"/>
          <w:szCs w:val="32"/>
        </w:rPr>
        <w:br w:type="page"/>
      </w:r>
    </w:p>
    <w:p w14:paraId="478466EC" w14:textId="53F02ADD" w:rsidR="00104443" w:rsidRPr="00E37745" w:rsidRDefault="00104443" w:rsidP="00104443">
      <w:pPr>
        <w:keepNext/>
        <w:keepLines/>
        <w:spacing w:before="160" w:after="80"/>
        <w:jc w:val="both"/>
        <w:outlineLvl w:val="1"/>
        <w:rPr>
          <w:rFonts w:ascii="Segoe UI" w:eastAsia="Times New Roman" w:hAnsi="Segoe UI" w:cs="Segoe UI"/>
          <w:color w:val="2F5496"/>
        </w:rPr>
      </w:pPr>
      <w:r>
        <w:rPr>
          <w:rFonts w:ascii="Gill Sans Nova" w:eastAsia="Times New Roman" w:hAnsi="Gill Sans Nova" w:cs="Times New Roman"/>
          <w:color w:val="0081FB"/>
          <w:sz w:val="32"/>
          <w:szCs w:val="32"/>
        </w:rPr>
        <w:lastRenderedPageBreak/>
        <w:t>Grupa 2: Społeczny wymiar transformacji</w:t>
      </w:r>
    </w:p>
    <w:p w14:paraId="37EEBD01" w14:textId="70FFE991" w:rsidR="00303AB1" w:rsidRPr="00FE201B" w:rsidRDefault="00303AB1" w:rsidP="004009E5">
      <w:pPr>
        <w:spacing w:after="0"/>
        <w:jc w:val="both"/>
        <w:rPr>
          <w:b/>
          <w:bCs/>
        </w:rPr>
      </w:pPr>
      <w:r w:rsidRPr="00FE201B">
        <w:rPr>
          <w:b/>
          <w:bCs/>
        </w:rPr>
        <w:t xml:space="preserve">Rekomendacje dotyczące uwzględnienia w aktualizacji </w:t>
      </w:r>
      <w:proofErr w:type="spellStart"/>
      <w:r w:rsidRPr="00FE201B">
        <w:rPr>
          <w:b/>
          <w:bCs/>
        </w:rPr>
        <w:t>KPEiK</w:t>
      </w:r>
      <w:proofErr w:type="spellEnd"/>
      <w:r w:rsidRPr="00FE201B">
        <w:rPr>
          <w:b/>
          <w:bCs/>
        </w:rPr>
        <w:t xml:space="preserve"> </w:t>
      </w:r>
      <w:r w:rsidR="00FE201B" w:rsidRPr="00FE201B">
        <w:rPr>
          <w:b/>
          <w:bCs/>
        </w:rPr>
        <w:t>zagadnień</w:t>
      </w:r>
      <w:r w:rsidR="00970B98">
        <w:rPr>
          <w:b/>
          <w:bCs/>
        </w:rPr>
        <w:t xml:space="preserve"> z zakresu ubóstwa energetycznego</w:t>
      </w:r>
      <w:r w:rsidRPr="00FE201B">
        <w:rPr>
          <w:b/>
          <w:bCs/>
        </w:rPr>
        <w:t>:</w:t>
      </w:r>
    </w:p>
    <w:p w14:paraId="427D3884" w14:textId="56E538C0" w:rsidR="00FE201B" w:rsidRDefault="00FE201B" w:rsidP="00FE201B">
      <w:pPr>
        <w:pStyle w:val="Akapitzlist"/>
        <w:numPr>
          <w:ilvl w:val="0"/>
          <w:numId w:val="42"/>
        </w:numPr>
        <w:jc w:val="both"/>
      </w:pPr>
      <w:r>
        <w:t xml:space="preserve">Wskazanie w </w:t>
      </w:r>
      <w:r w:rsidR="00970B98">
        <w:t xml:space="preserve">aktualizacji </w:t>
      </w:r>
      <w:proofErr w:type="spellStart"/>
      <w:r>
        <w:t>KPEiK</w:t>
      </w:r>
      <w:proofErr w:type="spellEnd"/>
      <w:r>
        <w:t xml:space="preserve"> podmiotu odpowiedzialnego za kwestię walki z ubóstwa energetycznego</w:t>
      </w:r>
      <w:r w:rsidR="00970B98">
        <w:t xml:space="preserve"> - w strukturach administracji rządowej;</w:t>
      </w:r>
    </w:p>
    <w:p w14:paraId="5CD59439" w14:textId="2D37E98D" w:rsidR="00303AB1" w:rsidRDefault="00303AB1" w:rsidP="00FE201B">
      <w:pPr>
        <w:pStyle w:val="Akapitzlist"/>
        <w:numPr>
          <w:ilvl w:val="0"/>
          <w:numId w:val="42"/>
        </w:numPr>
        <w:jc w:val="both"/>
      </w:pPr>
      <w:r>
        <w:t>Inwentaryzacja istniejących instrumentów wsparcia pod kątem dotarcia do grup dotkniętych ubóstwem energetycznym</w:t>
      </w:r>
      <w:r w:rsidR="00970B98">
        <w:t xml:space="preserve">, zdefiniowanie </w:t>
      </w:r>
      <w:r>
        <w:t xml:space="preserve">grup pominiętych </w:t>
      </w:r>
      <w:r w:rsidR="00970B98">
        <w:t>oraz</w:t>
      </w:r>
      <w:r>
        <w:t xml:space="preserve"> wypracowanie rozwiązań do nich skierowanych</w:t>
      </w:r>
      <w:r w:rsidR="008C247C">
        <w:t>;</w:t>
      </w:r>
    </w:p>
    <w:p w14:paraId="08A425C7" w14:textId="1B65DDA0" w:rsidR="00303AB1" w:rsidRDefault="00303AB1" w:rsidP="00FE201B">
      <w:pPr>
        <w:pStyle w:val="Akapitzlist"/>
        <w:numPr>
          <w:ilvl w:val="0"/>
          <w:numId w:val="42"/>
        </w:numPr>
        <w:jc w:val="both"/>
      </w:pPr>
      <w:r>
        <w:t xml:space="preserve">Włączenie </w:t>
      </w:r>
      <w:r w:rsidR="00CD261E">
        <w:t>instytucji pomocy społecznej</w:t>
      </w:r>
      <w:r>
        <w:t xml:space="preserve"> w walkę z ubóstwem energetycznym i zapewnienie finansowych środków na realizację </w:t>
      </w:r>
      <w:r w:rsidR="008C247C">
        <w:t>przez te instytucje</w:t>
      </w:r>
      <w:r>
        <w:t xml:space="preserve"> nowych zadań</w:t>
      </w:r>
      <w:r w:rsidR="008C247C">
        <w:t>;</w:t>
      </w:r>
    </w:p>
    <w:p w14:paraId="1C49F952" w14:textId="024DAFDC" w:rsidR="00303AB1" w:rsidRDefault="008C247C" w:rsidP="00FE201B">
      <w:pPr>
        <w:pStyle w:val="Akapitzlist"/>
        <w:numPr>
          <w:ilvl w:val="0"/>
          <w:numId w:val="42"/>
        </w:numPr>
        <w:jc w:val="both"/>
      </w:pPr>
      <w:r>
        <w:t>Wyartykułowanie</w:t>
      </w:r>
      <w:r w:rsidR="00303AB1">
        <w:t xml:space="preserve"> kluczowej roli jednostek samorządu terytorialnego w walce z ubóstwem energetycznym i zapewnienie </w:t>
      </w:r>
      <w:proofErr w:type="spellStart"/>
      <w:r w:rsidR="00303AB1">
        <w:t>jst</w:t>
      </w:r>
      <w:proofErr w:type="spellEnd"/>
      <w:r w:rsidR="00303AB1">
        <w:t xml:space="preserve"> środków na realizację tych zadań</w:t>
      </w:r>
      <w:r>
        <w:t>;</w:t>
      </w:r>
    </w:p>
    <w:p w14:paraId="5CEE70D7" w14:textId="726965AF" w:rsidR="00303AB1" w:rsidRDefault="00303AB1" w:rsidP="00FE201B">
      <w:pPr>
        <w:pStyle w:val="Akapitzlist"/>
        <w:numPr>
          <w:ilvl w:val="0"/>
          <w:numId w:val="42"/>
        </w:numPr>
        <w:jc w:val="both"/>
      </w:pPr>
      <w:r>
        <w:t>Stworzenie jednolitego w całym kraju systemu mapowania zjawiska ubóstwa energetycznego</w:t>
      </w:r>
      <w:r w:rsidR="008C247C">
        <w:t>.</w:t>
      </w:r>
    </w:p>
    <w:p w14:paraId="603D4CE3" w14:textId="2520070A" w:rsidR="00F730C8" w:rsidRDefault="003A4F2D" w:rsidP="00581EE2">
      <w:pPr>
        <w:jc w:val="both"/>
      </w:pPr>
      <w:r>
        <w:t xml:space="preserve">Jeżeli na etapie finalizacji prac nad aktualizacją </w:t>
      </w:r>
      <w:proofErr w:type="spellStart"/>
      <w:r>
        <w:t>KPEiK</w:t>
      </w:r>
      <w:proofErr w:type="spellEnd"/>
      <w:r>
        <w:t xml:space="preserve"> nie jest możliwe </w:t>
      </w:r>
      <w:r w:rsidR="00B03461">
        <w:t>uwzględnienie</w:t>
      </w:r>
      <w:r>
        <w:t xml:space="preserve"> ww. kwestii</w:t>
      </w:r>
      <w:r w:rsidR="00B03461">
        <w:t xml:space="preserve"> to </w:t>
      </w:r>
      <w:r>
        <w:t xml:space="preserve">rekomenduje się określenie </w:t>
      </w:r>
      <w:r w:rsidR="00B03461">
        <w:t xml:space="preserve">w aktualizowanym Planie </w:t>
      </w:r>
      <w:r w:rsidR="00C63060">
        <w:t xml:space="preserve">nowego działania </w:t>
      </w:r>
      <w:r>
        <w:t xml:space="preserve">w </w:t>
      </w:r>
      <w:r w:rsidR="004C1D5F">
        <w:t>zakresie ubóstwa energetycznego</w:t>
      </w:r>
      <w:r w:rsidR="00D00F10">
        <w:t xml:space="preserve">. </w:t>
      </w:r>
      <w:r w:rsidR="00F36C86">
        <w:t>Określenie nowego</w:t>
      </w:r>
      <w:r w:rsidR="00D00F10">
        <w:t xml:space="preserve"> </w:t>
      </w:r>
      <w:r w:rsidR="00F36C86">
        <w:t>działania</w:t>
      </w:r>
      <w:r w:rsidR="0008066E">
        <w:t xml:space="preserve"> będzie zarówno sygnałem </w:t>
      </w:r>
      <w:r w:rsidR="00EA7E9A">
        <w:t>dla KE</w:t>
      </w:r>
      <w:r w:rsidR="00FE0DFD">
        <w:t xml:space="preserve">, że Polska traktuje </w:t>
      </w:r>
      <w:r w:rsidR="00F36C86">
        <w:t>społeczny wymiar transformacji jako kluczowy</w:t>
      </w:r>
      <w:r w:rsidR="008D4339">
        <w:t xml:space="preserve"> (wychodząc </w:t>
      </w:r>
      <w:r w:rsidR="009171E1">
        <w:t>poza dotychczasowe ramy programów priorytetowych NFOŚiGW</w:t>
      </w:r>
      <w:r w:rsidR="008D4339">
        <w:t>)</w:t>
      </w:r>
      <w:r w:rsidR="00F36C86">
        <w:t xml:space="preserve">, a dodatkowo </w:t>
      </w:r>
      <w:r w:rsidR="004C1D5F">
        <w:t xml:space="preserve">może przyczynić się do integracji </w:t>
      </w:r>
      <w:proofErr w:type="spellStart"/>
      <w:r w:rsidR="004C1D5F">
        <w:t>KPEiK</w:t>
      </w:r>
      <w:proofErr w:type="spellEnd"/>
      <w:r w:rsidR="004C1D5F">
        <w:t xml:space="preserve"> z </w:t>
      </w:r>
      <w:r w:rsidR="004A0929">
        <w:t>rozpoczętymi działaniami rządu w zakresie przygotowania Społecznego Planu Klimatycznego, na podstawie którego rozdysponowane zostaną środki ze Społecznego Funduszu Klimatycznego.</w:t>
      </w:r>
    </w:p>
    <w:p w14:paraId="3A9EC379" w14:textId="79BCA659" w:rsidR="00F730C8" w:rsidRPr="004A0929" w:rsidRDefault="004A0929" w:rsidP="00581EE2">
      <w:pPr>
        <w:jc w:val="both"/>
        <w:rPr>
          <w:b/>
          <w:bCs/>
        </w:rPr>
      </w:pPr>
      <w:r w:rsidRPr="004A0929">
        <w:rPr>
          <w:b/>
          <w:bCs/>
        </w:rPr>
        <w:t>Przebieg prac grupy warsztatowej</w:t>
      </w:r>
    </w:p>
    <w:p w14:paraId="4BD7FA76" w14:textId="598ABDC3" w:rsidR="00B23FEB" w:rsidRDefault="32C530E3" w:rsidP="00581EE2">
      <w:pPr>
        <w:jc w:val="both"/>
      </w:pPr>
      <w:r>
        <w:t xml:space="preserve">W pracach grupy zajmującej się wymiarem społecznym aktualizacji </w:t>
      </w:r>
      <w:proofErr w:type="spellStart"/>
      <w:r>
        <w:t>KPEiK</w:t>
      </w:r>
      <w:proofErr w:type="spellEnd"/>
      <w:r>
        <w:t xml:space="preserve"> wzięli udział przedstawiciele administracji rządowej (Ministerstwa Klimatu i Środowiska) oraz pozarządowych organizacji eksperckich i społecznych.</w:t>
      </w:r>
    </w:p>
    <w:p w14:paraId="5B27286F" w14:textId="73DBD948" w:rsidR="00104443" w:rsidRDefault="32C530E3" w:rsidP="00581EE2">
      <w:pPr>
        <w:jc w:val="both"/>
      </w:pPr>
      <w:r>
        <w:t xml:space="preserve">Najważniejsze wnioski ze wstępnej dyskusji na temat społecznego wymiaru transformacji w </w:t>
      </w:r>
      <w:proofErr w:type="spellStart"/>
      <w:r>
        <w:t>aKPEiK</w:t>
      </w:r>
      <w:proofErr w:type="spellEnd"/>
      <w:r>
        <w:t xml:space="preserve"> można podzielić na trzy grupy:</w:t>
      </w:r>
    </w:p>
    <w:p w14:paraId="5447990A" w14:textId="16400968" w:rsidR="00AB69B2" w:rsidRDefault="00AB69B2" w:rsidP="004009E5">
      <w:pPr>
        <w:pStyle w:val="Akapitzlist"/>
        <w:numPr>
          <w:ilvl w:val="0"/>
          <w:numId w:val="7"/>
        </w:numPr>
        <w:spacing w:after="0"/>
        <w:ind w:left="714" w:hanging="357"/>
        <w:contextualSpacing w:val="0"/>
        <w:jc w:val="both"/>
      </w:pPr>
      <w:r>
        <w:t>Refleksje ogólne:</w:t>
      </w:r>
    </w:p>
    <w:p w14:paraId="10D3155E" w14:textId="56786664" w:rsidR="00AB69B2" w:rsidRDefault="00AB69B2" w:rsidP="19D7A4A9">
      <w:pPr>
        <w:pStyle w:val="Akapitzlist"/>
        <w:numPr>
          <w:ilvl w:val="0"/>
          <w:numId w:val="8"/>
        </w:numPr>
        <w:spacing w:after="0"/>
        <w:jc w:val="both"/>
      </w:pPr>
      <w:r>
        <w:t xml:space="preserve">Aspekt społeczny musi być tłem dla wszystkich polityk i działań zapisanych w </w:t>
      </w:r>
      <w:proofErr w:type="spellStart"/>
      <w:r>
        <w:t>KPEiK</w:t>
      </w:r>
      <w:proofErr w:type="spellEnd"/>
      <w:r w:rsidR="00450559">
        <w:t xml:space="preserve">, </w:t>
      </w:r>
      <w:r w:rsidR="00450559" w:rsidRPr="00450559">
        <w:t>przy czym bezpośrednie wsparcie w formule tzw. dopłat energetycznych nie powinno zastąpić działań zmierzających do długofalowego rozwiązania problemu (np. w formie dotacji do kompleksowej modernizacji)</w:t>
      </w:r>
    </w:p>
    <w:p w14:paraId="43276CAC" w14:textId="77777777" w:rsidR="00AB69B2" w:rsidRDefault="00AB69B2" w:rsidP="00AB69B2">
      <w:pPr>
        <w:pStyle w:val="Akapitzlist"/>
        <w:numPr>
          <w:ilvl w:val="0"/>
          <w:numId w:val="8"/>
        </w:numPr>
        <w:spacing w:after="0"/>
        <w:contextualSpacing w:val="0"/>
        <w:jc w:val="both"/>
      </w:pPr>
      <w:r>
        <w:t>Optymalnie transfery zapisane w dokumencie powinny łączyć się z efektami klimatycznymi</w:t>
      </w:r>
    </w:p>
    <w:p w14:paraId="2D517C39" w14:textId="2D3D3E03" w:rsidR="00810C0A" w:rsidRDefault="00810C0A" w:rsidP="00810C0A">
      <w:pPr>
        <w:pStyle w:val="Akapitzlist"/>
        <w:numPr>
          <w:ilvl w:val="0"/>
          <w:numId w:val="8"/>
        </w:numPr>
        <w:jc w:val="both"/>
      </w:pPr>
      <w:r>
        <w:t>Istnieje ogromna luka na poziomie komunikacji z o</w:t>
      </w:r>
      <w:r w:rsidR="00261B73">
        <w:t>bywatelami</w:t>
      </w:r>
      <w:r>
        <w:t xml:space="preserve"> na temat szczegółów wdrażanych polityk klimatyczno</w:t>
      </w:r>
      <w:r w:rsidR="00261B73">
        <w:t>-</w:t>
      </w:r>
      <w:r>
        <w:t>energetycznych – trzeba wyjaśniać, skąd się biorą koszty, kiedy przyjdą do beneficjentów korzyści i w jakiej formie (np. zdrowotne)</w:t>
      </w:r>
    </w:p>
    <w:p w14:paraId="456420F7" w14:textId="35C55CDD" w:rsidR="00810C0A" w:rsidRDefault="449F7EBA" w:rsidP="17A756DD">
      <w:pPr>
        <w:pStyle w:val="Akapitzlist"/>
        <w:numPr>
          <w:ilvl w:val="0"/>
          <w:numId w:val="8"/>
        </w:numPr>
        <w:spacing w:after="0"/>
        <w:jc w:val="both"/>
      </w:pPr>
      <w:r>
        <w:t xml:space="preserve">Niezbędne jest inwestowanie w </w:t>
      </w:r>
      <w:r w:rsidR="7488A022">
        <w:t xml:space="preserve">doszkalanie </w:t>
      </w:r>
      <w:r>
        <w:t>pracowników socjalnych/administracji lokalnej, tak aby zwiększyły się ich kompetencje i wiedza związane z polityką klimatyczną, ułatwiając wdrożenie reform i komunikację ze społeczeństwem</w:t>
      </w:r>
    </w:p>
    <w:p w14:paraId="7E3254C7" w14:textId="77777777" w:rsidR="00AB69B2" w:rsidRDefault="00AB69B2" w:rsidP="00AB69B2">
      <w:pPr>
        <w:pStyle w:val="Akapitzlist"/>
        <w:numPr>
          <w:ilvl w:val="0"/>
          <w:numId w:val="8"/>
        </w:numPr>
        <w:spacing w:after="0"/>
        <w:contextualSpacing w:val="0"/>
        <w:jc w:val="both"/>
      </w:pPr>
      <w:r>
        <w:t>Brakuje spojrzenia z perspektywy pojedynczego człowieka, który ostatecznie jest w centrum transformacji, który ma skorzystać, a nie stracić na transformacji</w:t>
      </w:r>
    </w:p>
    <w:p w14:paraId="5E206E60" w14:textId="3C27D6EE" w:rsidR="00AB69B2" w:rsidRDefault="00AB69B2" w:rsidP="00AB69B2">
      <w:pPr>
        <w:pStyle w:val="Akapitzlist"/>
        <w:numPr>
          <w:ilvl w:val="0"/>
          <w:numId w:val="8"/>
        </w:numPr>
        <w:spacing w:after="0"/>
        <w:ind w:left="1066" w:hanging="357"/>
        <w:contextualSpacing w:val="0"/>
        <w:jc w:val="both"/>
      </w:pPr>
      <w:r>
        <w:t>Brakuje pomocy społecznej w systemie jako aktywnego uczestnika wprowadzania i programowania polityk klimatyczno-energetycznych</w:t>
      </w:r>
    </w:p>
    <w:p w14:paraId="7AF793C6" w14:textId="73A956BA" w:rsidR="00AB69B2" w:rsidRDefault="00AB69B2" w:rsidP="004009E5">
      <w:pPr>
        <w:pStyle w:val="Akapitzlist"/>
        <w:numPr>
          <w:ilvl w:val="0"/>
          <w:numId w:val="7"/>
        </w:numPr>
        <w:spacing w:before="160" w:after="0"/>
        <w:ind w:left="714" w:hanging="357"/>
        <w:contextualSpacing w:val="0"/>
        <w:jc w:val="both"/>
      </w:pPr>
      <w:r>
        <w:lastRenderedPageBreak/>
        <w:t>Ubóstwo energetyczne/transportowe:</w:t>
      </w:r>
    </w:p>
    <w:p w14:paraId="050625EA" w14:textId="0093EA7F" w:rsidR="004F36F5" w:rsidRDefault="004F36F5" w:rsidP="00673BEC">
      <w:pPr>
        <w:pStyle w:val="Akapitzlist"/>
        <w:numPr>
          <w:ilvl w:val="0"/>
          <w:numId w:val="8"/>
        </w:numPr>
        <w:spacing w:after="0"/>
        <w:contextualSpacing w:val="0"/>
        <w:jc w:val="both"/>
      </w:pPr>
      <w:r>
        <w:t>Dla efektywnego zwalczania ubóstwa energetycznego p</w:t>
      </w:r>
      <w:r w:rsidRPr="004F36F5">
        <w:t>otrzebne jest odwrócenie wektora beneficjent-</w:t>
      </w:r>
      <w:r>
        <w:t>państwo</w:t>
      </w:r>
      <w:r w:rsidRPr="004F36F5">
        <w:t xml:space="preserve">, </w:t>
      </w:r>
      <w:r>
        <w:t xml:space="preserve">tak aby to administracja </w:t>
      </w:r>
      <w:r w:rsidR="0090016B">
        <w:t xml:space="preserve">publiczna </w:t>
      </w:r>
      <w:r>
        <w:t xml:space="preserve">organizowała renowację budynków zamieszkiwanych </w:t>
      </w:r>
      <w:r w:rsidR="00261B73">
        <w:t>p</w:t>
      </w:r>
      <w:r>
        <w:t xml:space="preserve">rzez osoby dotknięte ubóstwem energetycznym. Może to być realizowane </w:t>
      </w:r>
      <w:r w:rsidRPr="004F36F5">
        <w:t xml:space="preserve">poprzez </w:t>
      </w:r>
      <w:r>
        <w:t xml:space="preserve">centralną </w:t>
      </w:r>
      <w:r w:rsidRPr="004F36F5">
        <w:t xml:space="preserve">identyfikację budynków, albo poprzez identyfikację beneficjentów. </w:t>
      </w:r>
    </w:p>
    <w:p w14:paraId="2561E0F1" w14:textId="64B4BEBC" w:rsidR="004F36F5" w:rsidRDefault="004F36F5" w:rsidP="00673BEC">
      <w:pPr>
        <w:pStyle w:val="Akapitzlist"/>
        <w:numPr>
          <w:ilvl w:val="0"/>
          <w:numId w:val="8"/>
        </w:numPr>
        <w:spacing w:after="0"/>
        <w:contextualSpacing w:val="0"/>
        <w:jc w:val="both"/>
      </w:pPr>
      <w:r w:rsidRPr="004F36F5">
        <w:t>Polityka budynkowa jest szansą na integrację polityki społecznej i klimatycznej</w:t>
      </w:r>
    </w:p>
    <w:p w14:paraId="5B76680A" w14:textId="73D3F4C3" w:rsidR="00810C0A" w:rsidRDefault="00AB69B2" w:rsidP="00673BEC">
      <w:pPr>
        <w:pStyle w:val="Akapitzlist"/>
        <w:numPr>
          <w:ilvl w:val="0"/>
          <w:numId w:val="8"/>
        </w:numPr>
        <w:spacing w:after="0"/>
        <w:contextualSpacing w:val="0"/>
        <w:jc w:val="both"/>
      </w:pPr>
      <w:r>
        <w:t>Nie wszyscy ubodzy energetycznie są w ogólnej trudnej sytuacji ekonomicznej</w:t>
      </w:r>
    </w:p>
    <w:p w14:paraId="264F6F1D" w14:textId="77777777" w:rsidR="00810C0A" w:rsidRDefault="00AB69B2" w:rsidP="00673BEC">
      <w:pPr>
        <w:pStyle w:val="Akapitzlist"/>
        <w:numPr>
          <w:ilvl w:val="0"/>
          <w:numId w:val="8"/>
        </w:numPr>
        <w:spacing w:after="0"/>
        <w:contextualSpacing w:val="0"/>
        <w:jc w:val="both"/>
      </w:pPr>
      <w:r>
        <w:t>„Ubodzy zarabiający” najtrudniejszą grupą do dotarcia i uchwycenia w systemie</w:t>
      </w:r>
    </w:p>
    <w:p w14:paraId="514538EA" w14:textId="4597C2A2" w:rsidR="00810C0A" w:rsidRDefault="00810C0A" w:rsidP="00673BEC">
      <w:pPr>
        <w:pStyle w:val="Akapitzlist"/>
        <w:numPr>
          <w:ilvl w:val="0"/>
          <w:numId w:val="8"/>
        </w:numPr>
        <w:spacing w:after="0"/>
        <w:contextualSpacing w:val="0"/>
        <w:jc w:val="both"/>
      </w:pPr>
      <w:r>
        <w:t xml:space="preserve">Wkład własny i formalności </w:t>
      </w:r>
      <w:r w:rsidR="007F4ADA">
        <w:t xml:space="preserve">pozostają wciąż istotnymi </w:t>
      </w:r>
      <w:r>
        <w:t xml:space="preserve">barierami </w:t>
      </w:r>
      <w:r w:rsidR="00253DB7">
        <w:t xml:space="preserve">na drodze </w:t>
      </w:r>
      <w:r>
        <w:t xml:space="preserve">do </w:t>
      </w:r>
      <w:r w:rsidR="00253DB7">
        <w:t>wy</w:t>
      </w:r>
      <w:r>
        <w:t>korzystania z środków z Czystego Powietrza</w:t>
      </w:r>
      <w:r w:rsidR="00A1245F">
        <w:t xml:space="preserve"> (</w:t>
      </w:r>
      <w:r w:rsidR="00AC7E28">
        <w:t>preferowane powinno być prefinansowanie kosztów a ni</w:t>
      </w:r>
      <w:r w:rsidR="002D331B">
        <w:t>e ich zwrot</w:t>
      </w:r>
      <w:r w:rsidR="00A1245F">
        <w:t>)</w:t>
      </w:r>
      <w:r>
        <w:t>, w następnej kolejności barierą jest także niedostatecznie wysokie finansowanie</w:t>
      </w:r>
    </w:p>
    <w:p w14:paraId="6E22144A" w14:textId="09796F09" w:rsidR="00AB69B2" w:rsidRDefault="028CB572" w:rsidP="17A756DD">
      <w:pPr>
        <w:pStyle w:val="Akapitzlist"/>
        <w:numPr>
          <w:ilvl w:val="0"/>
          <w:numId w:val="8"/>
        </w:numPr>
        <w:ind w:left="1066" w:hanging="357"/>
        <w:jc w:val="both"/>
      </w:pPr>
      <w:r>
        <w:t xml:space="preserve">Do wykorzystania są znaczne ilości środków na </w:t>
      </w:r>
      <w:r w:rsidR="0EB82BF7">
        <w:t xml:space="preserve">przekwalifikowanie </w:t>
      </w:r>
      <w:r>
        <w:t>administracji i uczestników rynku pracy, ale nie ma efektywnego tworzenia potrzebnych kompetencji, co oznacza, że brakuje specjalistów do wdrażania niezbędnych zmian w zakresie ubóstwa energetycznego</w:t>
      </w:r>
      <w:r w:rsidR="004F5E22">
        <w:t>.</w:t>
      </w:r>
    </w:p>
    <w:p w14:paraId="25941F85" w14:textId="65E21206" w:rsidR="00AB69B2" w:rsidRDefault="00AB69B2" w:rsidP="004009E5">
      <w:pPr>
        <w:pStyle w:val="Akapitzlist"/>
        <w:numPr>
          <w:ilvl w:val="0"/>
          <w:numId w:val="7"/>
        </w:numPr>
        <w:spacing w:before="160" w:after="0"/>
        <w:ind w:left="714" w:hanging="357"/>
        <w:contextualSpacing w:val="0"/>
        <w:jc w:val="both"/>
      </w:pPr>
      <w:r>
        <w:t>Projektowanie polityk:</w:t>
      </w:r>
    </w:p>
    <w:p w14:paraId="620E9E0D" w14:textId="249DAE51" w:rsidR="00AB69B2" w:rsidRDefault="77418066" w:rsidP="17A756DD">
      <w:pPr>
        <w:pStyle w:val="Akapitzlist"/>
        <w:numPr>
          <w:ilvl w:val="0"/>
          <w:numId w:val="8"/>
        </w:numPr>
        <w:spacing w:after="0"/>
        <w:jc w:val="both"/>
      </w:pPr>
      <w:r>
        <w:t>Należy starać się unikać tworzenia dodatkowych pośredników między administracją (funduszami)</w:t>
      </w:r>
      <w:r w:rsidR="74B1E8F8">
        <w:t xml:space="preserve"> </w:t>
      </w:r>
      <w:r>
        <w:t xml:space="preserve">beneficjentem, aby jak najwięcej środków trafiło do osób potrzebujących. </w:t>
      </w:r>
      <w:r w:rsidR="449F7EBA">
        <w:t>Warto zachować jednak pewien bufor na kwestie związane z asystenturą przy procesie.</w:t>
      </w:r>
    </w:p>
    <w:p w14:paraId="21FEDB9A" w14:textId="20C258D4" w:rsidR="00810C0A" w:rsidRDefault="00810C0A" w:rsidP="00810C0A">
      <w:pPr>
        <w:pStyle w:val="Akapitzlist"/>
        <w:numPr>
          <w:ilvl w:val="0"/>
          <w:numId w:val="8"/>
        </w:numPr>
        <w:jc w:val="both"/>
      </w:pPr>
      <w:r>
        <w:t>Przekazanie dużej części kompetencji doradczych samorządom pozwoli na uszczelnienie systemu wydatkowania funduszy</w:t>
      </w:r>
      <w:r w:rsidR="00CC1F6C">
        <w:t>,</w:t>
      </w:r>
    </w:p>
    <w:p w14:paraId="2C7157B7" w14:textId="717492F1" w:rsidR="00AB69B2" w:rsidRDefault="00AB69B2" w:rsidP="00AB69B2">
      <w:pPr>
        <w:pStyle w:val="Akapitzlist"/>
        <w:numPr>
          <w:ilvl w:val="0"/>
          <w:numId w:val="8"/>
        </w:numPr>
        <w:spacing w:after="0"/>
        <w:contextualSpacing w:val="0"/>
        <w:jc w:val="both"/>
      </w:pPr>
      <w:r>
        <w:t>Uproszczenie formularzy ułatwi dostęp do funduszy dla przeciętnego obywatela i ograniczy potrzebę konsultacji</w:t>
      </w:r>
      <w:r w:rsidR="00B25FC2">
        <w:t>,</w:t>
      </w:r>
    </w:p>
    <w:p w14:paraId="6C2371CE" w14:textId="6A12990B" w:rsidR="00AB69B2" w:rsidRDefault="00810C0A" w:rsidP="00673BEC">
      <w:pPr>
        <w:pStyle w:val="Akapitzlist"/>
        <w:numPr>
          <w:ilvl w:val="0"/>
          <w:numId w:val="8"/>
        </w:numPr>
        <w:spacing w:after="0"/>
        <w:contextualSpacing w:val="0"/>
        <w:jc w:val="both"/>
      </w:pPr>
      <w:r>
        <w:t>Formularze są skomplikowane, bo urz</w:t>
      </w:r>
      <w:r w:rsidR="00261B73">
        <w:t>ę</w:t>
      </w:r>
      <w:r>
        <w:t xml:space="preserve">dnicy odpowiadają przed NIK </w:t>
      </w:r>
      <w:r w:rsidR="00231AF6">
        <w:t xml:space="preserve">i innymi służbami kontrolnymi </w:t>
      </w:r>
      <w:r>
        <w:t xml:space="preserve">za gospodarność w wydawaniu środków. </w:t>
      </w:r>
      <w:r w:rsidR="00AB69B2">
        <w:t>Należy zmienić profil współpracy z NIK</w:t>
      </w:r>
      <w:r w:rsidR="00261B73">
        <w:t xml:space="preserve">, </w:t>
      </w:r>
      <w:r>
        <w:t xml:space="preserve">aby zmniejszyć </w:t>
      </w:r>
      <w:r w:rsidR="00AB69B2">
        <w:t>komplikacja procedur i nakłady administracyjne</w:t>
      </w:r>
      <w:r>
        <w:t xml:space="preserve"> a obsługę wniosków</w:t>
      </w:r>
      <w:r w:rsidR="00B25FC2">
        <w:t>,</w:t>
      </w:r>
    </w:p>
    <w:p w14:paraId="3E1D7443" w14:textId="632B3D1B" w:rsidR="00810C0A" w:rsidRDefault="00810C0A" w:rsidP="19D7A4A9">
      <w:pPr>
        <w:pStyle w:val="Akapitzlist"/>
        <w:numPr>
          <w:ilvl w:val="0"/>
          <w:numId w:val="8"/>
        </w:numPr>
        <w:spacing w:after="0"/>
        <w:jc w:val="both"/>
      </w:pPr>
      <w:r>
        <w:t>Problemem jest m</w:t>
      </w:r>
      <w:r w:rsidRPr="00810C0A">
        <w:t xml:space="preserve">yślenie silosowe na poziomie </w:t>
      </w:r>
      <w:r>
        <w:t xml:space="preserve">projektowania </w:t>
      </w:r>
      <w:r w:rsidRPr="00810C0A">
        <w:t xml:space="preserve">polityk publicznych – np. ubóstwo energetyczne </w:t>
      </w:r>
      <w:r w:rsidR="00231AF6">
        <w:t>nie znalazło się</w:t>
      </w:r>
      <w:r w:rsidRPr="00810C0A">
        <w:t xml:space="preserve"> w centrum uwagi polityki społecznej, </w:t>
      </w:r>
      <w:r w:rsidR="007C630F">
        <w:t xml:space="preserve">a </w:t>
      </w:r>
      <w:r w:rsidRPr="00810C0A">
        <w:t xml:space="preserve">osoby zaangażowane w </w:t>
      </w:r>
      <w:r w:rsidR="007C630F" w:rsidRPr="007C630F">
        <w:t xml:space="preserve">projektowanie i wdrażanie </w:t>
      </w:r>
      <w:r w:rsidR="3F3A47EF">
        <w:t>polityk</w:t>
      </w:r>
      <w:r w:rsidR="007C630F">
        <w:t>i</w:t>
      </w:r>
      <w:r w:rsidR="3F3A47EF">
        <w:t xml:space="preserve"> społeczn</w:t>
      </w:r>
      <w:r w:rsidR="007C630F">
        <w:t>ej</w:t>
      </w:r>
      <w:r w:rsidRPr="00810C0A">
        <w:t xml:space="preserve"> nie są włączane w pisanie </w:t>
      </w:r>
      <w:proofErr w:type="spellStart"/>
      <w:r w:rsidRPr="00810C0A">
        <w:t>KPEiKu</w:t>
      </w:r>
      <w:proofErr w:type="spellEnd"/>
      <w:r w:rsidR="00B25FC2">
        <w:t>,</w:t>
      </w:r>
    </w:p>
    <w:p w14:paraId="79B3F726" w14:textId="7E23B2B9" w:rsidR="00810C0A" w:rsidRDefault="00810C0A" w:rsidP="00810C0A">
      <w:pPr>
        <w:pStyle w:val="Akapitzlist"/>
        <w:numPr>
          <w:ilvl w:val="0"/>
          <w:numId w:val="8"/>
        </w:numPr>
        <w:jc w:val="both"/>
      </w:pPr>
      <w:r>
        <w:t xml:space="preserve">Zadania za którymi idą pieniądze dla pomocy społecznej powinny być wpisane w </w:t>
      </w:r>
      <w:proofErr w:type="spellStart"/>
      <w:r>
        <w:t>KPEiK</w:t>
      </w:r>
      <w:proofErr w:type="spellEnd"/>
      <w:r w:rsidR="00B25FC2">
        <w:t>,</w:t>
      </w:r>
    </w:p>
    <w:p w14:paraId="1B8FD9F5" w14:textId="2AA7E455" w:rsidR="00810C0A" w:rsidRDefault="449F7EBA" w:rsidP="00810C0A">
      <w:pPr>
        <w:pStyle w:val="Akapitzlist"/>
        <w:numPr>
          <w:ilvl w:val="0"/>
          <w:numId w:val="8"/>
        </w:numPr>
        <w:jc w:val="both"/>
      </w:pPr>
      <w:r>
        <w:t xml:space="preserve">Pisząc </w:t>
      </w:r>
      <w:proofErr w:type="spellStart"/>
      <w:r>
        <w:t>KPEiK</w:t>
      </w:r>
      <w:proofErr w:type="spellEnd"/>
      <w:r>
        <w:t>, warto zintegrować już istniejącą pracę i procesy zachodzące w różnych podmiotach administracji centralnej</w:t>
      </w:r>
      <w:r w:rsidR="00B25FC2">
        <w:t>,</w:t>
      </w:r>
    </w:p>
    <w:p w14:paraId="6C330A25" w14:textId="682C89A0" w:rsidR="00810C0A" w:rsidRDefault="449F7EBA" w:rsidP="00810C0A">
      <w:pPr>
        <w:pStyle w:val="Akapitzlist"/>
        <w:numPr>
          <w:ilvl w:val="0"/>
          <w:numId w:val="8"/>
        </w:numPr>
        <w:jc w:val="both"/>
      </w:pPr>
      <w:r>
        <w:t xml:space="preserve">Wynagrodzenie dla pracowników polityki społecznej i </w:t>
      </w:r>
      <w:r w:rsidR="1648D89E">
        <w:t xml:space="preserve">organizacji pozarządowych </w:t>
      </w:r>
      <w:r>
        <w:t>za udział w konsultacjach pozwoliłoby na lepsze włączanie wszystkich ważnych interesariuszy w proces tworzenia polityk i efektywniejsze wydawanie środków</w:t>
      </w:r>
      <w:r w:rsidR="00B25FC2">
        <w:t>.</w:t>
      </w:r>
    </w:p>
    <w:p w14:paraId="082B4E42" w14:textId="1CFBE7AD" w:rsidR="00C02BEB" w:rsidRDefault="004F36F5" w:rsidP="004F36F5">
      <w:pPr>
        <w:jc w:val="both"/>
      </w:pPr>
      <w:r>
        <w:t>Po wstępnej dyskusji uczestnicy przeszli do identyfikacji najważniejszych wyzwań związanych ze s</w:t>
      </w:r>
      <w:r w:rsidRPr="004F36F5">
        <w:t>połeczny</w:t>
      </w:r>
      <w:r>
        <w:t>m</w:t>
      </w:r>
      <w:r w:rsidRPr="004F36F5">
        <w:t xml:space="preserve"> wymiar</w:t>
      </w:r>
      <w:r>
        <w:t>em</w:t>
      </w:r>
      <w:r w:rsidRPr="004F36F5">
        <w:t xml:space="preserve"> transformacji</w:t>
      </w:r>
      <w:r>
        <w:t xml:space="preserve">. </w:t>
      </w:r>
      <w:r w:rsidR="00C02BEB">
        <w:t xml:space="preserve">Do określonych wstępnie </w:t>
      </w:r>
      <w:r>
        <w:t xml:space="preserve">przez ekspertów Instytutu Reform </w:t>
      </w:r>
      <w:r w:rsidR="00C02BEB">
        <w:t>wyzwa</w:t>
      </w:r>
      <w:r w:rsidR="00581EE2">
        <w:t>ń:</w:t>
      </w:r>
    </w:p>
    <w:p w14:paraId="1E4FECB1" w14:textId="75905E3D" w:rsidR="00C02BEB" w:rsidRDefault="00C02BEB" w:rsidP="00C02BEB">
      <w:pPr>
        <w:pStyle w:val="Akapitzlist"/>
        <w:numPr>
          <w:ilvl w:val="0"/>
          <w:numId w:val="4"/>
        </w:numPr>
      </w:pPr>
      <w:r>
        <w:t>Ubóstwo energetyczne</w:t>
      </w:r>
      <w:r w:rsidRPr="00C02BEB">
        <w:rPr>
          <w:rFonts w:ascii="Arial" w:hAnsi="Arial" w:cs="Arial"/>
        </w:rPr>
        <w:t>​</w:t>
      </w:r>
    </w:p>
    <w:p w14:paraId="7B38019D" w14:textId="77777777" w:rsidR="00C02BEB" w:rsidRDefault="00C02BEB" w:rsidP="00C02BEB">
      <w:pPr>
        <w:pStyle w:val="Akapitzlist"/>
        <w:numPr>
          <w:ilvl w:val="0"/>
          <w:numId w:val="4"/>
        </w:numPr>
      </w:pPr>
      <w:r>
        <w:t>Ubóstwo transportowe</w:t>
      </w:r>
      <w:r w:rsidRPr="00C02BEB">
        <w:rPr>
          <w:rFonts w:ascii="Arial" w:hAnsi="Arial" w:cs="Arial"/>
        </w:rPr>
        <w:t>​</w:t>
      </w:r>
    </w:p>
    <w:p w14:paraId="3726CBD8" w14:textId="77777777" w:rsidR="00C02BEB" w:rsidRDefault="00C02BEB" w:rsidP="00C02BEB">
      <w:pPr>
        <w:pStyle w:val="Akapitzlist"/>
        <w:numPr>
          <w:ilvl w:val="0"/>
          <w:numId w:val="4"/>
        </w:numPr>
      </w:pPr>
      <w:r>
        <w:t>Identyfikacja podmiotów wrażliwych</w:t>
      </w:r>
      <w:r w:rsidRPr="00C02BEB">
        <w:rPr>
          <w:rFonts w:ascii="Arial" w:hAnsi="Arial" w:cs="Arial"/>
        </w:rPr>
        <w:t>​</w:t>
      </w:r>
    </w:p>
    <w:p w14:paraId="188BF377" w14:textId="77777777" w:rsidR="00C02BEB" w:rsidRDefault="00C02BEB" w:rsidP="00C02BEB">
      <w:pPr>
        <w:pStyle w:val="Akapitzlist"/>
        <w:numPr>
          <w:ilvl w:val="0"/>
          <w:numId w:val="4"/>
        </w:numPr>
      </w:pPr>
      <w:r>
        <w:lastRenderedPageBreak/>
        <w:t>Rozkład ciężaru opłat i podatków</w:t>
      </w:r>
      <w:r w:rsidRPr="00C02BEB">
        <w:rPr>
          <w:rFonts w:ascii="Arial" w:hAnsi="Arial" w:cs="Arial"/>
        </w:rPr>
        <w:t>​</w:t>
      </w:r>
    </w:p>
    <w:p w14:paraId="672D5115" w14:textId="77777777" w:rsidR="00C02BEB" w:rsidRDefault="00C02BEB" w:rsidP="00C02BEB">
      <w:pPr>
        <w:pStyle w:val="Akapitzlist"/>
        <w:numPr>
          <w:ilvl w:val="0"/>
          <w:numId w:val="4"/>
        </w:numPr>
      </w:pPr>
      <w:r>
        <w:t>Finansowanie wsparcia</w:t>
      </w:r>
      <w:r w:rsidRPr="00C02BEB">
        <w:rPr>
          <w:rFonts w:ascii="Arial" w:hAnsi="Arial" w:cs="Arial"/>
        </w:rPr>
        <w:t>​</w:t>
      </w:r>
    </w:p>
    <w:p w14:paraId="562A837C" w14:textId="0CD41E63" w:rsidR="00C02BEB" w:rsidRDefault="00C02BEB" w:rsidP="00C02BEB">
      <w:pPr>
        <w:pStyle w:val="Akapitzlist"/>
        <w:numPr>
          <w:ilvl w:val="0"/>
          <w:numId w:val="4"/>
        </w:numPr>
      </w:pPr>
      <w:r>
        <w:t>Rynek pracy</w:t>
      </w:r>
    </w:p>
    <w:p w14:paraId="1B34A95E" w14:textId="7F6FE21F" w:rsidR="00581EE2" w:rsidRDefault="004F36F5" w:rsidP="00581EE2">
      <w:pPr>
        <w:ind w:left="360"/>
      </w:pPr>
      <w:r>
        <w:t>u</w:t>
      </w:r>
      <w:r w:rsidR="00581EE2">
        <w:t>czestnicy dopisali:</w:t>
      </w:r>
    </w:p>
    <w:p w14:paraId="0F8E7BC9" w14:textId="67C5D4C6" w:rsidR="00581EE2" w:rsidRDefault="00581EE2" w:rsidP="00581EE2">
      <w:pPr>
        <w:pStyle w:val="Akapitzlist"/>
        <w:numPr>
          <w:ilvl w:val="0"/>
          <w:numId w:val="4"/>
        </w:numPr>
      </w:pPr>
      <w:r>
        <w:t>K</w:t>
      </w:r>
      <w:r w:rsidRPr="00581EE2">
        <w:t>oordynacja systemowa</w:t>
      </w:r>
      <w:r>
        <w:t xml:space="preserve"> redukcji ubóstwa energetycznego</w:t>
      </w:r>
      <w:r w:rsidRPr="00581EE2">
        <w:t>,</w:t>
      </w:r>
    </w:p>
    <w:p w14:paraId="421ABB5A" w14:textId="7F2645BB" w:rsidR="00581EE2" w:rsidRDefault="00581EE2" w:rsidP="00581EE2">
      <w:pPr>
        <w:pStyle w:val="Akapitzlist"/>
        <w:numPr>
          <w:ilvl w:val="0"/>
          <w:numId w:val="4"/>
        </w:numPr>
      </w:pPr>
      <w:r>
        <w:t>Z</w:t>
      </w:r>
      <w:r w:rsidRPr="00581EE2">
        <w:t xml:space="preserve">mapowanie funduszy, </w:t>
      </w:r>
    </w:p>
    <w:p w14:paraId="66B19441" w14:textId="2B5E79ED" w:rsidR="00581EE2" w:rsidRDefault="00581EE2" w:rsidP="00581EE2">
      <w:pPr>
        <w:pStyle w:val="Akapitzlist"/>
        <w:numPr>
          <w:ilvl w:val="0"/>
          <w:numId w:val="4"/>
        </w:numPr>
      </w:pPr>
      <w:r>
        <w:t>Niedostatek ziel</w:t>
      </w:r>
      <w:r w:rsidR="00261B73">
        <w:t>o</w:t>
      </w:r>
      <w:r>
        <w:t>nych miejsc pracy</w:t>
      </w:r>
    </w:p>
    <w:p w14:paraId="74AA316C" w14:textId="53B9A2E3" w:rsidR="00581EE2" w:rsidRDefault="00581EE2" w:rsidP="00581EE2">
      <w:pPr>
        <w:pStyle w:val="Akapitzlist"/>
        <w:numPr>
          <w:ilvl w:val="0"/>
          <w:numId w:val="4"/>
        </w:numPr>
      </w:pPr>
      <w:r>
        <w:t>Zarządzanie zmianami na rynku pracy związanymi z zieloną transformacją</w:t>
      </w:r>
      <w:r w:rsidR="004F36F5">
        <w:t>.</w:t>
      </w:r>
    </w:p>
    <w:p w14:paraId="3BA808D8" w14:textId="7AC92ACC" w:rsidR="00581EE2" w:rsidRDefault="004F36F5" w:rsidP="00E37745">
      <w:pPr>
        <w:jc w:val="both"/>
      </w:pPr>
      <w:r>
        <w:t xml:space="preserve">Następnie głosowano </w:t>
      </w:r>
      <w:r w:rsidR="00581EE2">
        <w:t>na wyzwania</w:t>
      </w:r>
      <w:r>
        <w:t>, których rozwiązywanie będzie omawiane przez grupę bardziej szczegółowo. K</w:t>
      </w:r>
      <w:r w:rsidR="00581EE2">
        <w:t>ażdy z uczestników mógł zagłosować dwukrotnie. Najwięcej głosów zgromadziły: ubóstwo energetyczne – 5, k</w:t>
      </w:r>
      <w:r w:rsidR="00581EE2" w:rsidRPr="00581EE2">
        <w:t>oordynacja systemowa redukcji ubóstwa energetycznego</w:t>
      </w:r>
      <w:r w:rsidR="00581EE2">
        <w:t xml:space="preserve"> – 4, ubóstwo transportowe – 4. </w:t>
      </w:r>
    </w:p>
    <w:p w14:paraId="053F2397" w14:textId="13F07753" w:rsidR="00E37745" w:rsidRPr="00E37745" w:rsidRDefault="0041532A" w:rsidP="00E37745">
      <w:pPr>
        <w:keepNext/>
        <w:keepLines/>
        <w:spacing w:before="160" w:after="80"/>
        <w:jc w:val="both"/>
        <w:outlineLvl w:val="1"/>
        <w:rPr>
          <w:rFonts w:ascii="Segoe UI" w:eastAsia="Times New Roman" w:hAnsi="Segoe UI" w:cs="Segoe UI"/>
          <w:color w:val="2F5496"/>
        </w:rPr>
      </w:pPr>
      <w:bookmarkStart w:id="0" w:name="_Hlk165366132"/>
      <w:r>
        <w:rPr>
          <w:rFonts w:ascii="Gill Sans Nova" w:eastAsia="Times New Roman" w:hAnsi="Gill Sans Nova" w:cs="Times New Roman"/>
          <w:color w:val="0081FB"/>
          <w:sz w:val="32"/>
          <w:szCs w:val="32"/>
        </w:rPr>
        <w:t>Temat 2.1</w:t>
      </w:r>
      <w:r w:rsidR="00E37745" w:rsidRPr="00E37745">
        <w:rPr>
          <w:rFonts w:ascii="Gill Sans Nova" w:eastAsia="Times New Roman" w:hAnsi="Gill Sans Nova" w:cs="Times New Roman"/>
          <w:color w:val="0081FB"/>
          <w:sz w:val="32"/>
          <w:szCs w:val="32"/>
        </w:rPr>
        <w:t xml:space="preserve">: </w:t>
      </w:r>
      <w:r w:rsidR="00E37745">
        <w:rPr>
          <w:rFonts w:ascii="Gill Sans Nova" w:eastAsia="Times New Roman" w:hAnsi="Gill Sans Nova" w:cs="Times New Roman"/>
          <w:color w:val="0081FB"/>
          <w:sz w:val="32"/>
          <w:szCs w:val="32"/>
        </w:rPr>
        <w:t>Ubóstwo energetyczne</w:t>
      </w:r>
    </w:p>
    <w:bookmarkEnd w:id="0"/>
    <w:p w14:paraId="66C2BD76" w14:textId="77777777" w:rsidR="009F05F0" w:rsidRDefault="00E37745" w:rsidP="00E37745">
      <w:pPr>
        <w:jc w:val="both"/>
        <w:rPr>
          <w:b/>
          <w:bCs/>
          <w:sz w:val="24"/>
          <w:szCs w:val="24"/>
        </w:rPr>
      </w:pPr>
      <w:r w:rsidRPr="009F05F0">
        <w:rPr>
          <w:b/>
          <w:bCs/>
          <w:sz w:val="24"/>
          <w:szCs w:val="24"/>
        </w:rPr>
        <w:t xml:space="preserve">Po co zajmować się tematem? </w:t>
      </w:r>
    </w:p>
    <w:p w14:paraId="310DD1B2" w14:textId="719E7386" w:rsidR="00E37745" w:rsidRDefault="00E37745" w:rsidP="00E37745">
      <w:pPr>
        <w:jc w:val="both"/>
      </w:pPr>
      <w:r w:rsidRPr="00E37745">
        <w:t>Jako</w:t>
      </w:r>
      <w:r>
        <w:t xml:space="preserve"> podstawowy</w:t>
      </w:r>
      <w:r w:rsidRPr="00E37745">
        <w:t xml:space="preserve"> cel</w:t>
      </w:r>
      <w:r>
        <w:t xml:space="preserve"> redukcji ubóstwa energetycznego zidentyfikowano </w:t>
      </w:r>
      <w:r w:rsidRPr="00E37745">
        <w:t>długofalow</w:t>
      </w:r>
      <w:r>
        <w:t xml:space="preserve">ą ochronę obywateli przed skutkami zjawiska </w:t>
      </w:r>
      <w:r w:rsidRPr="00E37745">
        <w:t xml:space="preserve">i zapobieganie wynikającym z </w:t>
      </w:r>
      <w:r>
        <w:t xml:space="preserve">niego </w:t>
      </w:r>
      <w:r w:rsidRPr="00E37745">
        <w:t>problemów społecznych</w:t>
      </w:r>
      <w:r>
        <w:t xml:space="preserve">. Ważnym celem jest też umożliwienie obywatelom dostępu do korzyści wynikających z procesu transformacji, co </w:t>
      </w:r>
      <w:r w:rsidR="00493D5A">
        <w:t xml:space="preserve">powinno </w:t>
      </w:r>
      <w:r>
        <w:t>przyczyni</w:t>
      </w:r>
      <w:r w:rsidR="00493D5A">
        <w:t>ć</w:t>
      </w:r>
      <w:r>
        <w:t xml:space="preserve"> się do poprawy społecznej akceptacji polityk klimatyczno-energetycznych</w:t>
      </w:r>
      <w:r w:rsidR="00493D5A">
        <w:t>. W tym procesie kluczową rolę odgrywa jednak także komunikacja. F</w:t>
      </w:r>
      <w:r>
        <w:t xml:space="preserve">inalnie </w:t>
      </w:r>
      <w:r w:rsidR="00493D5A">
        <w:t xml:space="preserve">celem działań w tym zakresie jest </w:t>
      </w:r>
      <w:r>
        <w:t>popraw</w:t>
      </w:r>
      <w:r w:rsidR="00493D5A">
        <w:t>a</w:t>
      </w:r>
      <w:r>
        <w:t xml:space="preserve"> jakości życia</w:t>
      </w:r>
      <w:r w:rsidR="00493D5A">
        <w:t xml:space="preserve"> społeczeństwa.</w:t>
      </w:r>
    </w:p>
    <w:p w14:paraId="751DFB94" w14:textId="77777777" w:rsidR="009F05F0" w:rsidRDefault="00493D5A" w:rsidP="004F261F">
      <w:pPr>
        <w:jc w:val="both"/>
        <w:rPr>
          <w:b/>
          <w:bCs/>
          <w:sz w:val="24"/>
          <w:szCs w:val="24"/>
        </w:rPr>
      </w:pPr>
      <w:r w:rsidRPr="009F05F0">
        <w:rPr>
          <w:b/>
          <w:bCs/>
          <w:sz w:val="24"/>
          <w:szCs w:val="24"/>
        </w:rPr>
        <w:t>Co należy zrobić?</w:t>
      </w:r>
    </w:p>
    <w:p w14:paraId="5FB00178" w14:textId="4AA37302" w:rsidR="004F261F" w:rsidRDefault="00D73868" w:rsidP="004F261F">
      <w:pPr>
        <w:jc w:val="both"/>
      </w:pPr>
      <w:r>
        <w:t xml:space="preserve">Kluczowa dla osiągnięcia celów w sposób optymalny kosztowo jest </w:t>
      </w:r>
      <w:r w:rsidRPr="009F05F0">
        <w:rPr>
          <w:b/>
          <w:bCs/>
        </w:rPr>
        <w:t>p</w:t>
      </w:r>
      <w:r w:rsidR="00493D5A" w:rsidRPr="009F05F0">
        <w:rPr>
          <w:b/>
          <w:bCs/>
        </w:rPr>
        <w:t xml:space="preserve">oprawa efektywności </w:t>
      </w:r>
      <w:r w:rsidRPr="009F05F0">
        <w:rPr>
          <w:b/>
          <w:bCs/>
        </w:rPr>
        <w:t xml:space="preserve">energetycznej zasobu </w:t>
      </w:r>
      <w:r w:rsidR="005B0C56" w:rsidRPr="009F05F0">
        <w:rPr>
          <w:b/>
          <w:bCs/>
        </w:rPr>
        <w:t>budowlanego</w:t>
      </w:r>
      <w:r w:rsidR="005B0C56">
        <w:t xml:space="preserve">. Powinno </w:t>
      </w:r>
      <w:r w:rsidR="004D6C81">
        <w:t>się</w:t>
      </w:r>
      <w:r w:rsidR="005B0C56">
        <w:t xml:space="preserve"> to odbywać </w:t>
      </w:r>
      <w:r w:rsidR="004F261F">
        <w:t>w miarę możliwości</w:t>
      </w:r>
      <w:r w:rsidR="005B0C56">
        <w:t xml:space="preserve"> za pomocą renowacji </w:t>
      </w:r>
      <w:r w:rsidR="004F261F">
        <w:t xml:space="preserve">przeprowadzanych w oparciu o istniejące już programy wsparcia takich inwestycji, aby opierać się na sprawdzonych na dużą skalę rozwiązaniach, zamiast długotrwale wdrażać nowe programy i komplikować otoczenie regulacyjne. </w:t>
      </w:r>
    </w:p>
    <w:p w14:paraId="56C7EF4A" w14:textId="7B7FEEC3" w:rsidR="004F261F" w:rsidRDefault="1076CB22" w:rsidP="004F261F">
      <w:pPr>
        <w:jc w:val="both"/>
      </w:pPr>
      <w:r>
        <w:t xml:space="preserve">Należy przeprowadzić </w:t>
      </w:r>
      <w:r w:rsidRPr="17A756DD">
        <w:rPr>
          <w:b/>
          <w:bCs/>
        </w:rPr>
        <w:t>inwentaryzację</w:t>
      </w:r>
      <w:r>
        <w:t xml:space="preserve"> i przegląd wszystkich istniejących programów wsparcia renowacji budynków pod względem efektywności w walce z ubóstwem energetycznym – czy i w jakim stopniu odpowiadają one na potrzeby społeczne. Zidentyfikowane w ten sposób luki powinny zostać zapełnione za pomocą przekształceń istniejących programów. </w:t>
      </w:r>
      <w:r w:rsidR="770D0088">
        <w:t>Powinno się także usunąć przypadki dublowania zadań z zakresu redukcji ubóstwa energetycznego, jeśli powtarzają się one w różnych programach.</w:t>
      </w:r>
      <w:r w:rsidR="00DF6650" w:rsidRPr="00DF6650">
        <w:t xml:space="preserve"> Programy wsparcia publicznego powinny się uzupełniać, a nie ze sobą konkurować.</w:t>
      </w:r>
    </w:p>
    <w:p w14:paraId="1D3E1319" w14:textId="0047BE36" w:rsidR="000528D1" w:rsidRDefault="3DBC300D" w:rsidP="00493D5A">
      <w:pPr>
        <w:jc w:val="both"/>
      </w:pPr>
      <w:r>
        <w:t xml:space="preserve">Dla zwiększenia skuteczności w </w:t>
      </w:r>
      <w:r w:rsidR="15DB2C3B">
        <w:t xml:space="preserve">identyfikacji i </w:t>
      </w:r>
      <w:r>
        <w:t>docieraniu do osób potrzebujących wspa</w:t>
      </w:r>
      <w:r w:rsidR="15DB2C3B">
        <w:t>rcia najważniejszym działaniem byłoby w</w:t>
      </w:r>
      <w:r w:rsidR="497E4F8D">
        <w:t xml:space="preserve">łączenie do systemu </w:t>
      </w:r>
      <w:r w:rsidR="15DB2C3B">
        <w:t xml:space="preserve">zarządzania problemem zasobów </w:t>
      </w:r>
      <w:r w:rsidR="497E4F8D" w:rsidRPr="17A756DD">
        <w:rPr>
          <w:b/>
          <w:bCs/>
        </w:rPr>
        <w:t>pomocy społecznej</w:t>
      </w:r>
      <w:r w:rsidR="15DB2C3B">
        <w:t>.</w:t>
      </w:r>
      <w:r w:rsidR="1076CB22">
        <w:t xml:space="preserve"> Toczący się proces </w:t>
      </w:r>
      <w:proofErr w:type="spellStart"/>
      <w:r w:rsidR="1076CB22">
        <w:t>deinstytucjonlizacji</w:t>
      </w:r>
      <w:proofErr w:type="spellEnd"/>
      <w:r w:rsidR="1076CB22">
        <w:t xml:space="preserve"> pomocy społecznej stanowi okazję do lepszego </w:t>
      </w:r>
      <w:r w:rsidR="06BD331E">
        <w:t xml:space="preserve">zmapowania potrzeb osób narażonych na ubóstwo energetyczne na poziomie </w:t>
      </w:r>
      <w:r w:rsidR="128A9C34">
        <w:t>lokalnym</w:t>
      </w:r>
      <w:r w:rsidR="06BD331E">
        <w:t xml:space="preserve"> </w:t>
      </w:r>
      <w:r w:rsidR="1076CB22">
        <w:t xml:space="preserve">oraz </w:t>
      </w:r>
      <w:r w:rsidR="06BD331E">
        <w:t xml:space="preserve">do </w:t>
      </w:r>
      <w:r w:rsidR="1076CB22">
        <w:t>wykorzystani</w:t>
      </w:r>
      <w:r w:rsidR="06BD331E">
        <w:t>a</w:t>
      </w:r>
      <w:r w:rsidR="1076CB22">
        <w:t xml:space="preserve"> zaufania zbudowanego przez pracowników pomocy społecznej do zwiększenia współpracy </w:t>
      </w:r>
      <w:r w:rsidR="06BD331E">
        <w:t xml:space="preserve">z państwem </w:t>
      </w:r>
      <w:r w:rsidR="1076CB22">
        <w:t>właścicieli nieefektywnych energetycznie budynków</w:t>
      </w:r>
      <w:r w:rsidR="06BD331E">
        <w:t xml:space="preserve"> w procesie poprawy ich jakości.</w:t>
      </w:r>
    </w:p>
    <w:p w14:paraId="12449295" w14:textId="397D9C1D" w:rsidR="00493D5A" w:rsidRDefault="005B0C56" w:rsidP="00493D5A">
      <w:pPr>
        <w:jc w:val="both"/>
      </w:pPr>
      <w:r>
        <w:lastRenderedPageBreak/>
        <w:t xml:space="preserve">Większą rolę w zarządzaniu redukcją ubóstwa energetycznego powinny pełnić </w:t>
      </w:r>
      <w:r w:rsidRPr="009F05F0">
        <w:rPr>
          <w:b/>
          <w:bCs/>
        </w:rPr>
        <w:t>jednostki samorządu terytorialnego</w:t>
      </w:r>
      <w:r>
        <w:t>, któr</w:t>
      </w:r>
      <w:r w:rsidR="009F05F0">
        <w:t xml:space="preserve">ych funkcją powinna być organizacja </w:t>
      </w:r>
      <w:r>
        <w:t>doradztw</w:t>
      </w:r>
      <w:r w:rsidR="009F05F0">
        <w:t>a</w:t>
      </w:r>
      <w:r>
        <w:t xml:space="preserve"> w zakresie poprawy efektywności energetycznej budynku i możliwych do wykorzystania na ten cel środków</w:t>
      </w:r>
      <w:r w:rsidR="009F05F0">
        <w:t>, a także zbieranie danych o potrzebach na poziomie lokalnym</w:t>
      </w:r>
      <w:r>
        <w:t xml:space="preserve">. Zadania samorządów w tym zakresie powinny być wpisane w </w:t>
      </w:r>
      <w:proofErr w:type="spellStart"/>
      <w:r>
        <w:t>KPEiK</w:t>
      </w:r>
      <w:proofErr w:type="spellEnd"/>
      <w:r>
        <w:t>, tak aby odpowiednie instytucje mogły uzyskać fundusze na ich realizację.</w:t>
      </w:r>
    </w:p>
    <w:p w14:paraId="5C6C1D6E" w14:textId="1247A49E" w:rsidR="005B0C56" w:rsidRDefault="06BD331E" w:rsidP="00493D5A">
      <w:pPr>
        <w:jc w:val="both"/>
      </w:pPr>
      <w:r>
        <w:t xml:space="preserve">Niezbędne jest także </w:t>
      </w:r>
      <w:r w:rsidRPr="17A756DD">
        <w:rPr>
          <w:b/>
          <w:bCs/>
        </w:rPr>
        <w:t>u</w:t>
      </w:r>
      <w:r w:rsidR="15DB2C3B" w:rsidRPr="17A756DD">
        <w:rPr>
          <w:b/>
          <w:bCs/>
        </w:rPr>
        <w:t>jednolicenie systemu mapowania potrzeb</w:t>
      </w:r>
      <w:r>
        <w:t>.</w:t>
      </w:r>
      <w:r w:rsidR="15DB2C3B">
        <w:t xml:space="preserve"> </w:t>
      </w:r>
      <w:r>
        <w:t xml:space="preserve">Dane zbierane przez samorząd w celu dokonania diagnozy skali problemu powinny być określone </w:t>
      </w:r>
      <w:r w:rsidR="15DB2C3B">
        <w:t>na poziomie centralnym</w:t>
      </w:r>
      <w:r w:rsidR="6E627A84">
        <w:t xml:space="preserve">. Na tym samym poziomie powinno ustalać się priorytety </w:t>
      </w:r>
      <w:r>
        <w:t>podejmowanych w oparciu o diagnozę działań</w:t>
      </w:r>
      <w:r w:rsidR="5A94306B">
        <w:t>. Samorządy powinny otrzymać jasny algorytm postępowania wynikającego z lokalnej specyfiki występującego na ich terytorium zjawiska ubóstwa energetycznego.</w:t>
      </w:r>
    </w:p>
    <w:p w14:paraId="11027F30" w14:textId="4DB39041" w:rsidR="00493D5A" w:rsidRDefault="5A94306B" w:rsidP="00493D5A">
      <w:pPr>
        <w:jc w:val="both"/>
      </w:pPr>
      <w:r>
        <w:t xml:space="preserve">Ze względu na horyzontalny charakter problemu, jakim jest ubóstwo energetyczne oraz zaangażowanie w jego rozwiązanie wielu podmiotów administracji centralnej i lokalnej, należy stworzyć </w:t>
      </w:r>
      <w:r w:rsidR="76B85348" w:rsidRPr="17A756DD">
        <w:rPr>
          <w:b/>
          <w:bCs/>
        </w:rPr>
        <w:t xml:space="preserve">system koordynacji </w:t>
      </w:r>
      <w:r w:rsidR="497E4F8D" w:rsidRPr="17A756DD">
        <w:rPr>
          <w:b/>
          <w:bCs/>
        </w:rPr>
        <w:t xml:space="preserve">działań ds. </w:t>
      </w:r>
      <w:r w:rsidR="6152F5A0" w:rsidRPr="17A756DD">
        <w:rPr>
          <w:b/>
          <w:bCs/>
        </w:rPr>
        <w:t>u</w:t>
      </w:r>
      <w:r w:rsidR="497E4F8D" w:rsidRPr="17A756DD">
        <w:rPr>
          <w:b/>
          <w:bCs/>
        </w:rPr>
        <w:t>bóstw</w:t>
      </w:r>
      <w:r w:rsidR="76B85348" w:rsidRPr="17A756DD">
        <w:rPr>
          <w:b/>
          <w:bCs/>
        </w:rPr>
        <w:t>a</w:t>
      </w:r>
      <w:r w:rsidR="497E4F8D" w:rsidRPr="17A756DD">
        <w:rPr>
          <w:b/>
          <w:bCs/>
        </w:rPr>
        <w:t xml:space="preserve"> </w:t>
      </w:r>
      <w:r w:rsidR="6152F5A0" w:rsidRPr="17A756DD">
        <w:rPr>
          <w:b/>
          <w:bCs/>
        </w:rPr>
        <w:t>e</w:t>
      </w:r>
      <w:r w:rsidR="497E4F8D" w:rsidRPr="17A756DD">
        <w:rPr>
          <w:b/>
          <w:bCs/>
        </w:rPr>
        <w:t>nergetycznego</w:t>
      </w:r>
      <w:r>
        <w:t>, który zajmowałby się organizacją współpracy wszystkich jedno</w:t>
      </w:r>
      <w:r w:rsidR="770D0088">
        <w:t xml:space="preserve">stek </w:t>
      </w:r>
      <w:r w:rsidR="76B85348">
        <w:t>biorących</w:t>
      </w:r>
      <w:r w:rsidR="770D0088">
        <w:t xml:space="preserve"> udział w zwalczaniu problemu</w:t>
      </w:r>
      <w:r>
        <w:t xml:space="preserve"> i zarządzał </w:t>
      </w:r>
      <w:r w:rsidR="770D0088">
        <w:t>procesem jego rozwiązywania.</w:t>
      </w:r>
      <w:r w:rsidR="76B85348">
        <w:t xml:space="preserve"> Jest to najważniejsza rekomendacja uczestników dyskusji.</w:t>
      </w:r>
    </w:p>
    <w:p w14:paraId="03C5ECBB" w14:textId="4DD91936" w:rsidR="000528D1" w:rsidRPr="000528D1" w:rsidRDefault="000528D1" w:rsidP="00493D5A">
      <w:pPr>
        <w:jc w:val="both"/>
        <w:rPr>
          <w:b/>
          <w:bCs/>
          <w:sz w:val="24"/>
          <w:szCs w:val="24"/>
        </w:rPr>
      </w:pPr>
      <w:r w:rsidRPr="000528D1">
        <w:rPr>
          <w:b/>
          <w:bCs/>
          <w:sz w:val="24"/>
          <w:szCs w:val="24"/>
        </w:rPr>
        <w:t>Dodatkowe wyzwania</w:t>
      </w:r>
      <w:r>
        <w:rPr>
          <w:b/>
          <w:bCs/>
          <w:sz w:val="24"/>
          <w:szCs w:val="24"/>
        </w:rPr>
        <w:t xml:space="preserve"> związane z redukcją ubóstwa energetycznego:</w:t>
      </w:r>
    </w:p>
    <w:p w14:paraId="30511013" w14:textId="226F3FAA" w:rsidR="000528D1" w:rsidRDefault="000528D1" w:rsidP="000E1B61">
      <w:pPr>
        <w:pStyle w:val="Akapitzlist"/>
        <w:numPr>
          <w:ilvl w:val="0"/>
          <w:numId w:val="6"/>
        </w:numPr>
        <w:jc w:val="both"/>
      </w:pPr>
      <w:r>
        <w:t xml:space="preserve">Zagadnienie </w:t>
      </w:r>
      <w:r w:rsidRPr="00261B73">
        <w:rPr>
          <w:b/>
          <w:bCs/>
        </w:rPr>
        <w:t>budynków wielorodzinnych</w:t>
      </w:r>
      <w:r w:rsidR="000E1B61">
        <w:t>, w tym zabytkowych budynków wielorodzinnych</w:t>
      </w:r>
      <w:r w:rsidR="00104443">
        <w:t>, stanowi ogromną lukę w krajowym zarządzaniu efektywnością energetyczną zasobu budowlanego i wymaga poprawy</w:t>
      </w:r>
    </w:p>
    <w:p w14:paraId="0F78BA59" w14:textId="2508D17D" w:rsidR="00104443" w:rsidRDefault="00104443" w:rsidP="000E1B61">
      <w:pPr>
        <w:pStyle w:val="Akapitzlist"/>
        <w:numPr>
          <w:ilvl w:val="0"/>
          <w:numId w:val="6"/>
        </w:numPr>
        <w:jc w:val="both"/>
      </w:pPr>
      <w:r>
        <w:t>Poprawa współpracy</w:t>
      </w:r>
      <w:r w:rsidRPr="00104443">
        <w:t xml:space="preserve"> z </w:t>
      </w:r>
      <w:r w:rsidRPr="00261B73">
        <w:rPr>
          <w:b/>
          <w:bCs/>
        </w:rPr>
        <w:t>konserwatorami zabytków</w:t>
      </w:r>
      <w:r w:rsidRPr="00104443">
        <w:t xml:space="preserve"> – ujednolicenie i standaryzacja renowacji budynków zabytkowych </w:t>
      </w:r>
      <w:r>
        <w:t>oraz stworzenie katalogu dobrych praktyk przyspieszy i zwiększy efektywność ich renowacji</w:t>
      </w:r>
      <w:r w:rsidR="00587E46">
        <w:t>;</w:t>
      </w:r>
    </w:p>
    <w:p w14:paraId="30E1C61E" w14:textId="43E7BC4A" w:rsidR="000E1B61" w:rsidRDefault="000E1B61" w:rsidP="00673BEC">
      <w:pPr>
        <w:pStyle w:val="Akapitzlist"/>
        <w:numPr>
          <w:ilvl w:val="0"/>
          <w:numId w:val="6"/>
        </w:numPr>
        <w:jc w:val="both"/>
      </w:pPr>
      <w:r>
        <w:t xml:space="preserve">Możliwość nawiązania </w:t>
      </w:r>
      <w:r w:rsidRPr="00261B73">
        <w:rPr>
          <w:b/>
          <w:bCs/>
        </w:rPr>
        <w:t xml:space="preserve">współpracy </w:t>
      </w:r>
      <w:r w:rsidR="000528D1" w:rsidRPr="00261B73">
        <w:rPr>
          <w:b/>
          <w:bCs/>
        </w:rPr>
        <w:t>z zarządcami nieruchomości</w:t>
      </w:r>
      <w:r w:rsidR="000528D1">
        <w:t xml:space="preserve"> – wspólnot</w:t>
      </w:r>
      <w:r>
        <w:t xml:space="preserve">ami i </w:t>
      </w:r>
      <w:r w:rsidR="000528D1">
        <w:t>spółdzielni</w:t>
      </w:r>
      <w:r>
        <w:t>ami w celu zarządzenia poprawą efektywności energetycznej tych budynków</w:t>
      </w:r>
      <w:r w:rsidR="00104443">
        <w:t>, lepszej komunikacji z mieszkańcami i promocji edukacji skierowanej zarówno do zarządzających budynkami, jak i ich mieszkańców</w:t>
      </w:r>
      <w:r w:rsidR="00993F6F">
        <w:t>;</w:t>
      </w:r>
    </w:p>
    <w:p w14:paraId="789B5D9C" w14:textId="77777777" w:rsidR="000E1B61" w:rsidRDefault="000E1B61" w:rsidP="000E1B61">
      <w:pPr>
        <w:pStyle w:val="Akapitzlist"/>
        <w:numPr>
          <w:ilvl w:val="0"/>
          <w:numId w:val="6"/>
        </w:numPr>
        <w:jc w:val="both"/>
      </w:pPr>
      <w:r w:rsidRPr="00261B73">
        <w:rPr>
          <w:b/>
          <w:bCs/>
        </w:rPr>
        <w:t>Przegląd</w:t>
      </w:r>
      <w:r w:rsidR="000528D1" w:rsidRPr="00261B73">
        <w:rPr>
          <w:b/>
          <w:bCs/>
        </w:rPr>
        <w:t xml:space="preserve"> funkcjonujących </w:t>
      </w:r>
      <w:r w:rsidRPr="00261B73">
        <w:rPr>
          <w:b/>
          <w:bCs/>
        </w:rPr>
        <w:t xml:space="preserve">aktualnie </w:t>
      </w:r>
      <w:r w:rsidR="000528D1" w:rsidRPr="00261B73">
        <w:rPr>
          <w:b/>
          <w:bCs/>
        </w:rPr>
        <w:t xml:space="preserve">programów </w:t>
      </w:r>
      <w:r w:rsidRPr="00261B73">
        <w:rPr>
          <w:b/>
          <w:bCs/>
        </w:rPr>
        <w:t>wsparcia</w:t>
      </w:r>
      <w:r>
        <w:t xml:space="preserve"> </w:t>
      </w:r>
      <w:r w:rsidR="000528D1">
        <w:t xml:space="preserve">w kontekście celu jakim jest społeczny wymiar transformacji; </w:t>
      </w:r>
    </w:p>
    <w:p w14:paraId="07401282" w14:textId="072C04F0" w:rsidR="000E1B61" w:rsidRDefault="538CDDD7" w:rsidP="000E1B61">
      <w:pPr>
        <w:pStyle w:val="Akapitzlist"/>
        <w:numPr>
          <w:ilvl w:val="0"/>
          <w:numId w:val="6"/>
        </w:numPr>
        <w:jc w:val="both"/>
      </w:pPr>
      <w:r>
        <w:t xml:space="preserve">Bardziej </w:t>
      </w:r>
      <w:r w:rsidRPr="19D7A4A9">
        <w:rPr>
          <w:b/>
          <w:bCs/>
        </w:rPr>
        <w:t>priorytetowe traktowanie</w:t>
      </w:r>
      <w:r w:rsidR="2154DD52" w:rsidRPr="19D7A4A9">
        <w:rPr>
          <w:b/>
          <w:bCs/>
        </w:rPr>
        <w:t xml:space="preserve"> </w:t>
      </w:r>
      <w:r w:rsidR="770D0088" w:rsidRPr="7E721DF5">
        <w:rPr>
          <w:b/>
          <w:bCs/>
        </w:rPr>
        <w:t>podmiotów dotkniętych ubóstwem energetyczny</w:t>
      </w:r>
      <w:r w:rsidR="6152F5A0" w:rsidRPr="7E721DF5">
        <w:rPr>
          <w:b/>
          <w:bCs/>
        </w:rPr>
        <w:t>m</w:t>
      </w:r>
      <w:r w:rsidR="770D0088">
        <w:t xml:space="preserve"> w istniejących programach – w tej chwili niektóre programy premiują/czy też są osiągalne dla osób posiadających zasoby materialne i niematerialne do przeprowadzenia działań</w:t>
      </w:r>
      <w:r w:rsidR="00993F6F">
        <w:t>;</w:t>
      </w:r>
    </w:p>
    <w:p w14:paraId="4C625F36" w14:textId="512EFF6C" w:rsidR="000E1B61" w:rsidRDefault="0080319C" w:rsidP="000528D1">
      <w:pPr>
        <w:pStyle w:val="Akapitzlist"/>
        <w:numPr>
          <w:ilvl w:val="0"/>
          <w:numId w:val="6"/>
        </w:numPr>
        <w:jc w:val="both"/>
      </w:pPr>
      <w:r>
        <w:t>Internetyzacja</w:t>
      </w:r>
      <w:r w:rsidR="000528D1" w:rsidRPr="00261B73">
        <w:rPr>
          <w:b/>
          <w:bCs/>
        </w:rPr>
        <w:t xml:space="preserve"> zasobów </w:t>
      </w:r>
      <w:r w:rsidR="000E1B61" w:rsidRPr="00261B73">
        <w:rPr>
          <w:b/>
          <w:bCs/>
        </w:rPr>
        <w:t>administracyjnych i ludzkich</w:t>
      </w:r>
      <w:r w:rsidR="000E1B61">
        <w:t xml:space="preserve"> </w:t>
      </w:r>
      <w:r w:rsidR="000528D1">
        <w:t>w kontekście ubóstwa</w:t>
      </w:r>
      <w:r w:rsidR="000E1B61">
        <w:t xml:space="preserve"> energetycznego</w:t>
      </w:r>
      <w:r w:rsidR="00993F6F">
        <w:t>;</w:t>
      </w:r>
    </w:p>
    <w:p w14:paraId="69A4BE5F" w14:textId="0CB50563" w:rsidR="000528D1" w:rsidRDefault="000E1B61" w:rsidP="000E1B61">
      <w:pPr>
        <w:pStyle w:val="Akapitzlist"/>
        <w:numPr>
          <w:ilvl w:val="0"/>
          <w:numId w:val="6"/>
        </w:numPr>
        <w:jc w:val="both"/>
      </w:pPr>
      <w:r>
        <w:t xml:space="preserve">Kierowanie się zasadą </w:t>
      </w:r>
      <w:r w:rsidRPr="00261B73">
        <w:rPr>
          <w:b/>
          <w:bCs/>
        </w:rPr>
        <w:t>wy</w:t>
      </w:r>
      <w:r w:rsidR="000528D1" w:rsidRPr="00261B73">
        <w:rPr>
          <w:b/>
          <w:bCs/>
        </w:rPr>
        <w:t>korzyst</w:t>
      </w:r>
      <w:r w:rsidRPr="00261B73">
        <w:rPr>
          <w:b/>
          <w:bCs/>
        </w:rPr>
        <w:t>ywania istniejących zasobów</w:t>
      </w:r>
      <w:r>
        <w:t xml:space="preserve"> w celu zwalczania problemu zamiast tworzenia od podstaw nowych rozwiązań </w:t>
      </w:r>
    </w:p>
    <w:p w14:paraId="565D9DC1" w14:textId="77777777" w:rsidR="000528D1" w:rsidRDefault="00493D5A" w:rsidP="00493D5A">
      <w:pPr>
        <w:jc w:val="both"/>
      </w:pPr>
      <w:r w:rsidRPr="000528D1">
        <w:rPr>
          <w:b/>
          <w:bCs/>
          <w:sz w:val="24"/>
          <w:szCs w:val="24"/>
        </w:rPr>
        <w:t>Jakie dobrać wskaźniki?</w:t>
      </w:r>
      <w:r w:rsidRPr="000528D1">
        <w:rPr>
          <w:sz w:val="24"/>
          <w:szCs w:val="24"/>
        </w:rPr>
        <w:t xml:space="preserve"> </w:t>
      </w:r>
    </w:p>
    <w:p w14:paraId="06587D54" w14:textId="1309B9B7" w:rsidR="00493D5A" w:rsidRDefault="00493D5A" w:rsidP="00E37745">
      <w:pPr>
        <w:jc w:val="both"/>
      </w:pPr>
      <w:r>
        <w:t xml:space="preserve">Ten aspekt polityki społecznej jest bardzo trudny do monitorowania, ponieważ nie dotyczy konkretnego produktu, a jego efektem są trudne do uchwycenia statystycznie zmiany. </w:t>
      </w:r>
      <w:r w:rsidR="00D819A9" w:rsidRPr="00D819A9">
        <w:t>P</w:t>
      </w:r>
      <w:r w:rsidR="00D819A9">
        <w:t xml:space="preserve">odstawową zasadą przy tworzeniu wskaźników powinno być </w:t>
      </w:r>
      <w:r w:rsidR="00D819A9" w:rsidRPr="00D819A9">
        <w:rPr>
          <w:b/>
          <w:bCs/>
        </w:rPr>
        <w:t>promowanie faktycznego zwiększeni</w:t>
      </w:r>
      <w:r w:rsidR="00D819A9">
        <w:rPr>
          <w:b/>
          <w:bCs/>
        </w:rPr>
        <w:t>a</w:t>
      </w:r>
      <w:r w:rsidR="00D819A9" w:rsidRPr="00D819A9">
        <w:rPr>
          <w:b/>
          <w:bCs/>
        </w:rPr>
        <w:t xml:space="preserve"> efektywności</w:t>
      </w:r>
      <w:r w:rsidR="00D819A9">
        <w:rPr>
          <w:b/>
          <w:bCs/>
        </w:rPr>
        <w:t xml:space="preserve"> energetycznej względem wskaźników opartych na zmianach źródła ciepła</w:t>
      </w:r>
      <w:r w:rsidR="00D819A9" w:rsidRPr="00D819A9">
        <w:rPr>
          <w:b/>
          <w:bCs/>
        </w:rPr>
        <w:t>.</w:t>
      </w:r>
      <w:r w:rsidR="00D819A9">
        <w:t xml:space="preserve"> </w:t>
      </w:r>
      <w:r>
        <w:t xml:space="preserve">Jednym z zaproponowanych przez grupę wskaźników jest </w:t>
      </w:r>
      <w:r w:rsidRPr="00493D5A">
        <w:t xml:space="preserve">wzrost liczby </w:t>
      </w:r>
      <w:r w:rsidR="00677F2F">
        <w:t>modernizacji energetycznych</w:t>
      </w:r>
      <w:r w:rsidR="00677F2F" w:rsidRPr="00493D5A">
        <w:t xml:space="preserve"> </w:t>
      </w:r>
      <w:r w:rsidRPr="00493D5A">
        <w:t>w najbardziej energochłonnych budynkach</w:t>
      </w:r>
      <w:r>
        <w:t>.</w:t>
      </w:r>
      <w:r w:rsidR="00D73868">
        <w:t xml:space="preserve"> Jako miarę wzrostu </w:t>
      </w:r>
      <w:r w:rsidR="00D73868">
        <w:lastRenderedPageBreak/>
        <w:t>efektywności energetycznej budynków wybrano ilość energii końcowej wykorzystanej do utrzymania w nich komfortowej temperatury.</w:t>
      </w:r>
    </w:p>
    <w:p w14:paraId="2AD4B564" w14:textId="77777777" w:rsidR="0041532A" w:rsidRDefault="0041532A" w:rsidP="00E37745">
      <w:pPr>
        <w:jc w:val="both"/>
      </w:pPr>
    </w:p>
    <w:p w14:paraId="474A2FD3" w14:textId="04199084" w:rsidR="0041532A" w:rsidRDefault="0041532A">
      <w:r>
        <w:br w:type="page"/>
      </w:r>
    </w:p>
    <w:p w14:paraId="2B2629DD" w14:textId="0C9F7D1A" w:rsidR="0041532A" w:rsidRPr="0041532A" w:rsidRDefault="0041532A" w:rsidP="0041532A">
      <w:pPr>
        <w:keepNext/>
        <w:keepLines/>
        <w:spacing w:before="160" w:after="80"/>
        <w:jc w:val="both"/>
        <w:outlineLvl w:val="1"/>
        <w:rPr>
          <w:rFonts w:ascii="Gill Sans Nova" w:eastAsia="Times New Roman" w:hAnsi="Gill Sans Nova" w:cs="Times New Roman"/>
          <w:color w:val="0081FB"/>
          <w:sz w:val="32"/>
          <w:szCs w:val="32"/>
        </w:rPr>
      </w:pPr>
      <w:r w:rsidRPr="0041532A">
        <w:rPr>
          <w:rFonts w:ascii="Gill Sans Nova" w:eastAsia="Times New Roman" w:hAnsi="Gill Sans Nova" w:cs="Times New Roman"/>
          <w:color w:val="0081FB"/>
          <w:sz w:val="32"/>
          <w:szCs w:val="32"/>
        </w:rPr>
        <w:lastRenderedPageBreak/>
        <w:t>Grupa 3: Transformacja przemysłu</w:t>
      </w:r>
    </w:p>
    <w:p w14:paraId="59300AC6" w14:textId="23040B80" w:rsidR="0041532A" w:rsidRDefault="0041532A" w:rsidP="0041532A">
      <w:pPr>
        <w:jc w:val="both"/>
        <w:rPr>
          <w:rFonts w:ascii="Segoe UI" w:hAnsi="Segoe UI" w:cs="Segoe UI"/>
        </w:rPr>
      </w:pPr>
      <w:r>
        <w:rPr>
          <w:rFonts w:ascii="Segoe UI" w:hAnsi="Segoe UI" w:cs="Segoe UI"/>
        </w:rPr>
        <w:t>W pracach grupy wzięli udział przedstawiciele przemysłu, administracji rządowej (trzy ministerstwa) oraz sektora pozarządowego.</w:t>
      </w:r>
    </w:p>
    <w:p w14:paraId="231A2C6B" w14:textId="632A8974" w:rsidR="0041532A" w:rsidRDefault="0041532A" w:rsidP="0041532A">
      <w:pPr>
        <w:jc w:val="both"/>
        <w:rPr>
          <w:rFonts w:ascii="Segoe UI" w:hAnsi="Segoe UI" w:cs="Segoe UI"/>
        </w:rPr>
      </w:pPr>
      <w:r>
        <w:rPr>
          <w:rFonts w:ascii="Segoe UI" w:hAnsi="Segoe UI" w:cs="Segoe UI"/>
        </w:rPr>
        <w:t>W toku prac grupy zidentyfikowano:</w:t>
      </w:r>
    </w:p>
    <w:p w14:paraId="3E26BA38" w14:textId="77777777" w:rsidR="0041532A" w:rsidRDefault="0041532A" w:rsidP="0041532A">
      <w:pPr>
        <w:pStyle w:val="Akapitzlist"/>
        <w:numPr>
          <w:ilvl w:val="0"/>
          <w:numId w:val="9"/>
        </w:numPr>
        <w:spacing w:line="256" w:lineRule="auto"/>
        <w:jc w:val="both"/>
        <w:rPr>
          <w:rFonts w:ascii="Segoe UI" w:hAnsi="Segoe UI" w:cs="Segoe UI"/>
        </w:rPr>
      </w:pPr>
      <w:r>
        <w:rPr>
          <w:rFonts w:ascii="Segoe UI" w:hAnsi="Segoe UI" w:cs="Segoe UI"/>
        </w:rPr>
        <w:t xml:space="preserve">Niski poziom szczegółowości dot. sektorowych aspektów przemysłu w </w:t>
      </w:r>
      <w:proofErr w:type="spellStart"/>
      <w:r>
        <w:rPr>
          <w:rFonts w:ascii="Segoe UI" w:hAnsi="Segoe UI" w:cs="Segoe UI"/>
        </w:rPr>
        <w:t>KPEiK</w:t>
      </w:r>
      <w:proofErr w:type="spellEnd"/>
      <w:r>
        <w:rPr>
          <w:rFonts w:ascii="Segoe UI" w:hAnsi="Segoe UI" w:cs="Segoe UI"/>
        </w:rPr>
        <w:t xml:space="preserve"> w porównaniu np. do sektora transportu</w:t>
      </w:r>
    </w:p>
    <w:p w14:paraId="6EC2DCC5" w14:textId="71E80912" w:rsidR="0041532A" w:rsidRDefault="0041532A" w:rsidP="0041532A">
      <w:pPr>
        <w:pStyle w:val="Akapitzlist"/>
        <w:numPr>
          <w:ilvl w:val="0"/>
          <w:numId w:val="9"/>
        </w:numPr>
        <w:spacing w:line="256" w:lineRule="auto"/>
        <w:jc w:val="both"/>
        <w:rPr>
          <w:rFonts w:ascii="Segoe UI" w:hAnsi="Segoe UI" w:cs="Segoe UI"/>
        </w:rPr>
      </w:pPr>
      <w:r>
        <w:rPr>
          <w:rFonts w:ascii="Segoe UI" w:hAnsi="Segoe UI" w:cs="Segoe UI"/>
        </w:rPr>
        <w:t>Trudności w czytelnym pokryciu niezbędnych zagadnień w ramach zalecanej 5-filarowej logiki dokumentu.</w:t>
      </w:r>
    </w:p>
    <w:p w14:paraId="449C5705" w14:textId="0D71A8F6" w:rsidR="0041532A" w:rsidRDefault="457CBBF9" w:rsidP="457CBBF9">
      <w:pPr>
        <w:jc w:val="both"/>
        <w:rPr>
          <w:rFonts w:ascii="Segoe UI" w:hAnsi="Segoe UI" w:cs="Segoe UI"/>
        </w:rPr>
      </w:pPr>
      <w:r w:rsidRPr="457CBBF9">
        <w:rPr>
          <w:rFonts w:ascii="Segoe UI" w:hAnsi="Segoe UI" w:cs="Segoe UI"/>
        </w:rPr>
        <w:t xml:space="preserve">Instytut Reform przygotował zestawienie wyzwań w zakresie aspektów dot. dekarbonizacji przemysłu. Uczestnicy uzupełnili podane zestawienie o wyzwania, które powinny ich zdaniem zostać uwzględnione w </w:t>
      </w:r>
      <w:proofErr w:type="spellStart"/>
      <w:r w:rsidRPr="457CBBF9">
        <w:rPr>
          <w:rFonts w:ascii="Segoe UI" w:hAnsi="Segoe UI" w:cs="Segoe UI"/>
        </w:rPr>
        <w:t>KPEiK</w:t>
      </w:r>
      <w:proofErr w:type="spellEnd"/>
      <w:r w:rsidRPr="457CBBF9">
        <w:rPr>
          <w:rFonts w:ascii="Segoe UI" w:hAnsi="Segoe UI" w:cs="Segoe UI"/>
        </w:rPr>
        <w:t xml:space="preserve">, zwracając uwagę m.in. na zróżnicowane potrzeby dużych i małych przedsiębiorstw przemysłowych, potrzeby dot. modelowania i mapowania transformacji, kompleksowe podejście do efektywności energetycznej (np. uwzględnienie ciepła odpadowego </w:t>
      </w:r>
      <w:r w:rsidRPr="457CBBF9">
        <w:rPr>
          <w:rFonts w:ascii="Segoe UI" w:eastAsia="Segoe UI" w:hAnsi="Segoe UI" w:cs="Segoe UI"/>
        </w:rPr>
        <w:t>pochodzącego z procesów produkcyjnych/ technologicznych, nie ograniczając się tylko do procesów wysokotemperaturowych</w:t>
      </w:r>
      <w:r w:rsidRPr="457CBBF9">
        <w:rPr>
          <w:rFonts w:ascii="Segoe UI" w:hAnsi="Segoe UI" w:cs="Segoe UI"/>
        </w:rPr>
        <w:t>). Następnie, dysponując trzema głosami, każdy z uczestników wskazywał, które z wyzwań są według niego najbardziej istotne w kontekście aspektów transformacji. Jako najbardziej priorytetowe obszary zainteresowania wskazano przede wszystkim:</w:t>
      </w:r>
    </w:p>
    <w:p w14:paraId="3CC3328F" w14:textId="77777777" w:rsidR="0041532A" w:rsidRDefault="0041532A" w:rsidP="0041532A">
      <w:pPr>
        <w:pStyle w:val="Akapitzlist"/>
        <w:numPr>
          <w:ilvl w:val="0"/>
          <w:numId w:val="10"/>
        </w:numPr>
        <w:spacing w:line="256" w:lineRule="auto"/>
        <w:jc w:val="both"/>
        <w:rPr>
          <w:rFonts w:ascii="Segoe UI" w:hAnsi="Segoe UI" w:cs="Segoe UI"/>
        </w:rPr>
      </w:pPr>
      <w:r>
        <w:rPr>
          <w:rFonts w:ascii="Segoe UI" w:hAnsi="Segoe UI" w:cs="Segoe UI"/>
        </w:rPr>
        <w:t>Potrzeby przemysłu ciężkiego i energochłonnego (8 głosów)</w:t>
      </w:r>
    </w:p>
    <w:p w14:paraId="27776653" w14:textId="77777777" w:rsidR="0041532A" w:rsidRDefault="0041532A" w:rsidP="0041532A">
      <w:pPr>
        <w:pStyle w:val="Akapitzlist"/>
        <w:numPr>
          <w:ilvl w:val="0"/>
          <w:numId w:val="10"/>
        </w:numPr>
        <w:spacing w:line="256" w:lineRule="auto"/>
        <w:jc w:val="both"/>
        <w:rPr>
          <w:rFonts w:ascii="Segoe UI" w:hAnsi="Segoe UI" w:cs="Segoe UI"/>
        </w:rPr>
      </w:pPr>
      <w:r>
        <w:rPr>
          <w:rFonts w:ascii="Segoe UI" w:hAnsi="Segoe UI" w:cs="Segoe UI"/>
        </w:rPr>
        <w:t>Dostęp przemysłu do czystej energii (5 głosów)</w:t>
      </w:r>
    </w:p>
    <w:p w14:paraId="2A9D57D8" w14:textId="77777777" w:rsidR="0041532A" w:rsidRDefault="0041532A" w:rsidP="0041532A">
      <w:pPr>
        <w:pStyle w:val="Akapitzlist"/>
        <w:numPr>
          <w:ilvl w:val="0"/>
          <w:numId w:val="10"/>
        </w:numPr>
        <w:spacing w:line="256" w:lineRule="auto"/>
        <w:jc w:val="both"/>
        <w:rPr>
          <w:rFonts w:ascii="Segoe UI" w:hAnsi="Segoe UI" w:cs="Segoe UI"/>
        </w:rPr>
      </w:pPr>
      <w:r>
        <w:rPr>
          <w:rFonts w:ascii="Segoe UI" w:hAnsi="Segoe UI" w:cs="Segoe UI"/>
        </w:rPr>
        <w:t>Wodór i efektywność energetyczną (po 4 głosy)</w:t>
      </w:r>
    </w:p>
    <w:p w14:paraId="713FBD34" w14:textId="77777777" w:rsidR="0041532A" w:rsidRDefault="0041532A" w:rsidP="0041532A">
      <w:pPr>
        <w:jc w:val="both"/>
        <w:rPr>
          <w:rFonts w:ascii="Segoe UI" w:hAnsi="Segoe UI" w:cs="Segoe UI"/>
        </w:rPr>
      </w:pPr>
      <w:r>
        <w:rPr>
          <w:rFonts w:ascii="Segoe UI" w:hAnsi="Segoe UI" w:cs="Segoe UI"/>
        </w:rPr>
        <w:t>Zwrócono uwagę na konieczność bardziej dynamicznego przechodzenia od planowania do realizacji, ze względu na to, że przemysł już odczuwa różne formy presji dekarbonizacyjnej wynikające np. z pośrednich skutków polityk oddziałujących na powiązane podmioty w ramach łańcuchów wartości</w:t>
      </w:r>
    </w:p>
    <w:p w14:paraId="354A5586" w14:textId="4B609991" w:rsidR="0041532A" w:rsidRDefault="0041532A" w:rsidP="0041532A">
      <w:pPr>
        <w:pStyle w:val="Nagwek2"/>
        <w:jc w:val="both"/>
        <w:rPr>
          <w:rFonts w:ascii="Segoe UI" w:hAnsi="Segoe UI" w:cs="Segoe UI"/>
          <w:sz w:val="22"/>
          <w:szCs w:val="22"/>
        </w:rPr>
      </w:pPr>
      <w:r>
        <w:rPr>
          <w:rStyle w:val="normaltextrun"/>
          <w:rFonts w:ascii="Gill Sans Nova" w:hAnsi="Gill Sans Nova"/>
          <w:color w:val="0081FB"/>
        </w:rPr>
        <w:t xml:space="preserve">Temat </w:t>
      </w:r>
      <w:r w:rsidR="00B2191F">
        <w:rPr>
          <w:rStyle w:val="normaltextrun"/>
          <w:rFonts w:ascii="Gill Sans Nova" w:hAnsi="Gill Sans Nova"/>
          <w:color w:val="0081FB"/>
        </w:rPr>
        <w:t>3.</w:t>
      </w:r>
      <w:r>
        <w:rPr>
          <w:rStyle w:val="normaltextrun"/>
          <w:rFonts w:ascii="Gill Sans Nova" w:hAnsi="Gill Sans Nova"/>
          <w:color w:val="0081FB"/>
        </w:rPr>
        <w:t>1: Potrzeby przemysłu ciężkiego i energochłonnego</w:t>
      </w:r>
    </w:p>
    <w:p w14:paraId="7FBFC33A" w14:textId="77777777" w:rsidR="0041532A" w:rsidRDefault="0041532A" w:rsidP="0041532A">
      <w:pPr>
        <w:jc w:val="both"/>
        <w:rPr>
          <w:rFonts w:ascii="Segoe UI" w:hAnsi="Segoe UI" w:cs="Segoe UI"/>
        </w:rPr>
      </w:pPr>
      <w:r>
        <w:rPr>
          <w:rFonts w:ascii="Segoe UI" w:hAnsi="Segoe UI" w:cs="Segoe UI"/>
        </w:rPr>
        <w:t>W zakresie potrzeb przemysłu wskazano m.in. na ograniczone efekty uproszczenia procedur OZE (do procedur stricte środowiskowych) i utrzymujące się bariery w zakresie planowania przestrzennego oraz względy praktyczne ograniczające możliwości instalacji OZE na terenie zakładów przemysłowych. Odnotowano przy tym, że nie da się na ogół zainstalować w zakładzie mocy OZE zapewniających pokrycie zapotrzebowania i wymaga to w praktyce wciąż stworzenia nowych mocy rozproszonych, poza terenem zakładu.</w:t>
      </w:r>
    </w:p>
    <w:p w14:paraId="7AB18832" w14:textId="0FB9A597" w:rsidR="0041532A" w:rsidRDefault="0041532A" w:rsidP="0041532A">
      <w:pPr>
        <w:jc w:val="both"/>
        <w:rPr>
          <w:rFonts w:ascii="Segoe UI" w:hAnsi="Segoe UI" w:cs="Segoe UI"/>
        </w:rPr>
      </w:pPr>
      <w:r>
        <w:rPr>
          <w:rFonts w:ascii="Segoe UI" w:hAnsi="Segoe UI" w:cs="Segoe UI"/>
        </w:rPr>
        <w:t xml:space="preserve">Przedstawiciele branży wyrazili duże zainteresowanie mechanizmami wsparcia operacyjnego takimi jak </w:t>
      </w:r>
      <w:proofErr w:type="spellStart"/>
      <w:r w:rsidRPr="0041532A">
        <w:rPr>
          <w:rFonts w:ascii="Segoe UI" w:hAnsi="Segoe UI" w:cs="Segoe UI"/>
          <w:b/>
          <w:bCs/>
        </w:rPr>
        <w:t>carbon</w:t>
      </w:r>
      <w:proofErr w:type="spellEnd"/>
      <w:r w:rsidRPr="0041532A">
        <w:rPr>
          <w:rFonts w:ascii="Segoe UI" w:hAnsi="Segoe UI" w:cs="Segoe UI"/>
          <w:b/>
          <w:bCs/>
        </w:rPr>
        <w:t xml:space="preserve"> </w:t>
      </w:r>
      <w:proofErr w:type="spellStart"/>
      <w:r w:rsidRPr="0041532A">
        <w:rPr>
          <w:rFonts w:ascii="Segoe UI" w:hAnsi="Segoe UI" w:cs="Segoe UI"/>
          <w:b/>
          <w:bCs/>
        </w:rPr>
        <w:t>contract</w:t>
      </w:r>
      <w:proofErr w:type="spellEnd"/>
      <w:r w:rsidRPr="0041532A">
        <w:rPr>
          <w:rFonts w:ascii="Segoe UI" w:hAnsi="Segoe UI" w:cs="Segoe UI"/>
          <w:b/>
          <w:bCs/>
        </w:rPr>
        <w:t xml:space="preserve"> for </w:t>
      </w:r>
      <w:proofErr w:type="spellStart"/>
      <w:r w:rsidRPr="0041532A">
        <w:rPr>
          <w:rFonts w:ascii="Segoe UI" w:hAnsi="Segoe UI" w:cs="Segoe UI"/>
          <w:b/>
          <w:bCs/>
        </w:rPr>
        <w:t>difference</w:t>
      </w:r>
      <w:proofErr w:type="spellEnd"/>
      <w:r>
        <w:rPr>
          <w:rFonts w:ascii="Segoe UI" w:hAnsi="Segoe UI" w:cs="Segoe UI"/>
        </w:rPr>
        <w:t>. Rola białych certyfikatów została odnotowana, ale z zastrzeżeniem, że mechanizm ten nie jest w pełni wydolny ze względu na regulacje krępujące procesy decyzyjne w ramach URE oraz że wkład budżetu państwa w białe certyfikaty jest mniejszy niż byłoby to pożądane przez stronę przemysłową. Zidentyfikowano szereg wyzwań związanych z pozyskiwaniem finansowania przez przemysł, w tym przede wszystkim:</w:t>
      </w:r>
    </w:p>
    <w:p w14:paraId="07C2D762" w14:textId="77777777" w:rsidR="0041532A" w:rsidRDefault="0041532A" w:rsidP="0041532A">
      <w:pPr>
        <w:pStyle w:val="Akapitzlist"/>
        <w:numPr>
          <w:ilvl w:val="0"/>
          <w:numId w:val="11"/>
        </w:numPr>
        <w:spacing w:line="256" w:lineRule="auto"/>
        <w:jc w:val="both"/>
        <w:rPr>
          <w:rFonts w:ascii="Segoe UI" w:hAnsi="Segoe UI" w:cs="Segoe UI"/>
        </w:rPr>
      </w:pPr>
      <w:r>
        <w:rPr>
          <w:rFonts w:ascii="Segoe UI" w:hAnsi="Segoe UI" w:cs="Segoe UI"/>
        </w:rPr>
        <w:t>Brak dostępu do informacji o dostępnym finansowaniu lub sposobach jego pozyskania</w:t>
      </w:r>
    </w:p>
    <w:p w14:paraId="58CD8FC2" w14:textId="26AEA1AE" w:rsidR="0041532A" w:rsidRDefault="0041532A" w:rsidP="0041532A">
      <w:pPr>
        <w:pStyle w:val="Akapitzlist"/>
        <w:numPr>
          <w:ilvl w:val="0"/>
          <w:numId w:val="11"/>
        </w:numPr>
        <w:spacing w:line="256" w:lineRule="auto"/>
        <w:jc w:val="both"/>
        <w:rPr>
          <w:rFonts w:ascii="Segoe UI" w:hAnsi="Segoe UI" w:cs="Segoe UI"/>
        </w:rPr>
      </w:pPr>
      <w:r>
        <w:rPr>
          <w:rFonts w:ascii="Segoe UI" w:hAnsi="Segoe UI" w:cs="Segoe UI"/>
        </w:rPr>
        <w:lastRenderedPageBreak/>
        <w:t>Bariery dostępu dla dużego i ciężkiego przemysłu w porównaniu do MŚP (np. więcej programów w gestii NFOŚiGW przeznaczonych dla MŚP, mniejszy dostęp do środków na pokrycie wydatków OPEX)</w:t>
      </w:r>
    </w:p>
    <w:p w14:paraId="6110F86A" w14:textId="77777777" w:rsidR="0041532A" w:rsidRDefault="0041532A" w:rsidP="0041532A">
      <w:pPr>
        <w:pStyle w:val="Akapitzlist"/>
        <w:numPr>
          <w:ilvl w:val="0"/>
          <w:numId w:val="11"/>
        </w:numPr>
        <w:spacing w:line="256" w:lineRule="auto"/>
        <w:jc w:val="both"/>
        <w:rPr>
          <w:rFonts w:ascii="Segoe UI" w:hAnsi="Segoe UI" w:cs="Segoe UI"/>
        </w:rPr>
      </w:pPr>
      <w:r>
        <w:rPr>
          <w:rFonts w:ascii="Segoe UI" w:hAnsi="Segoe UI" w:cs="Segoe UI"/>
        </w:rPr>
        <w:t xml:space="preserve">Powiązanie między szczegółowością określenia celów i działań dla danego sektora (np. CCS) w ramach polityk publicznych (w tym </w:t>
      </w:r>
      <w:proofErr w:type="spellStart"/>
      <w:r>
        <w:rPr>
          <w:rFonts w:ascii="Segoe UI" w:hAnsi="Segoe UI" w:cs="Segoe UI"/>
        </w:rPr>
        <w:t>KPEiK</w:t>
      </w:r>
      <w:proofErr w:type="spellEnd"/>
      <w:r>
        <w:rPr>
          <w:rFonts w:ascii="Segoe UI" w:hAnsi="Segoe UI" w:cs="Segoe UI"/>
        </w:rPr>
        <w:t>) a możliwościami uzyskiwania finansowania</w:t>
      </w:r>
    </w:p>
    <w:p w14:paraId="6316ECC6" w14:textId="1C57F955" w:rsidR="0041532A" w:rsidRDefault="0041532A" w:rsidP="0041532A">
      <w:pPr>
        <w:jc w:val="both"/>
        <w:rPr>
          <w:rFonts w:ascii="Segoe UI" w:hAnsi="Segoe UI" w:cs="Segoe UI"/>
        </w:rPr>
      </w:pPr>
      <w:r>
        <w:rPr>
          <w:rFonts w:ascii="Segoe UI" w:hAnsi="Segoe UI" w:cs="Segoe UI"/>
        </w:rPr>
        <w:t>Jako pożądane działanie wskazane zostało rozszerzenie dialogu pomiędzy administratorami finansowania (np. NFOŚiGW) a przemysłem w celu identyfikacji i redukcji barier dostępowych – zarówno tych wynikających z braku dostępu do informacji, jak i struktury finansowania i wysokości dostępnych środków.</w:t>
      </w:r>
    </w:p>
    <w:p w14:paraId="018641D9" w14:textId="77777777" w:rsidR="0041532A" w:rsidRDefault="0041532A" w:rsidP="0041532A">
      <w:pPr>
        <w:jc w:val="both"/>
        <w:rPr>
          <w:rFonts w:ascii="Segoe UI" w:hAnsi="Segoe UI" w:cs="Segoe UI"/>
          <w:b/>
          <w:bCs/>
        </w:rPr>
      </w:pPr>
      <w:r>
        <w:rPr>
          <w:rFonts w:ascii="Segoe UI" w:hAnsi="Segoe UI" w:cs="Segoe UI"/>
        </w:rPr>
        <w:t xml:space="preserve">W zakresie modelowania wskazano na istotna rolę pełniejszej i bardziej szczegółowej prezentacji danych w celu uzyskania lepszej oceny sytuacji potrzeb sektora, choć uwzględniono przy tym konieczność zachowania szybkiego tempa prac.  Podkreślono też istotność wymiany informacji o planach podmiotów z branży przemysłowej z administracja rządową. </w:t>
      </w:r>
    </w:p>
    <w:p w14:paraId="1698D41D" w14:textId="77777777" w:rsidR="0041532A" w:rsidRDefault="0041532A" w:rsidP="0041532A">
      <w:pPr>
        <w:jc w:val="both"/>
        <w:rPr>
          <w:rFonts w:ascii="Segoe UI" w:hAnsi="Segoe UI" w:cs="Segoe UI"/>
        </w:rPr>
      </w:pPr>
      <w:r>
        <w:rPr>
          <w:rFonts w:ascii="Segoe UI" w:hAnsi="Segoe UI" w:cs="Segoe UI"/>
        </w:rPr>
        <w:t xml:space="preserve">Omówiono kwestię właściwej alokacji wysiłków w zakresie rozbudowy i modernizacji sieci energetycznych oraz interakcję pomiędzy </w:t>
      </w:r>
      <w:proofErr w:type="spellStart"/>
      <w:r>
        <w:rPr>
          <w:rFonts w:ascii="Segoe UI" w:hAnsi="Segoe UI" w:cs="Segoe UI"/>
        </w:rPr>
        <w:t>KPEiK</w:t>
      </w:r>
      <w:proofErr w:type="spellEnd"/>
      <w:r>
        <w:rPr>
          <w:rFonts w:ascii="Segoe UI" w:hAnsi="Segoe UI" w:cs="Segoe UI"/>
        </w:rPr>
        <w:t xml:space="preserve"> i PRSP. Zauważono, że PRSP musi cechować się większą dokładnością w zakresie prognozowania obciążenia systemu niż </w:t>
      </w:r>
      <w:proofErr w:type="spellStart"/>
      <w:r>
        <w:rPr>
          <w:rFonts w:ascii="Segoe UI" w:hAnsi="Segoe UI" w:cs="Segoe UI"/>
        </w:rPr>
        <w:t>KPEiK</w:t>
      </w:r>
      <w:proofErr w:type="spellEnd"/>
      <w:r>
        <w:rPr>
          <w:rFonts w:ascii="Segoe UI" w:hAnsi="Segoe UI" w:cs="Segoe UI"/>
        </w:rPr>
        <w:t>, a także bardziej pesymistycznie oceniać potencjalne ryzyka i poziom stabilności systemu.</w:t>
      </w:r>
    </w:p>
    <w:p w14:paraId="000E0B72" w14:textId="77777777" w:rsidR="0041532A" w:rsidRDefault="0041532A" w:rsidP="0041532A">
      <w:pPr>
        <w:jc w:val="both"/>
        <w:rPr>
          <w:rFonts w:ascii="Segoe UI" w:hAnsi="Segoe UI" w:cs="Segoe UI"/>
          <w:b/>
          <w:bCs/>
        </w:rPr>
      </w:pPr>
      <w:r>
        <w:rPr>
          <w:rFonts w:ascii="Segoe UI" w:hAnsi="Segoe UI" w:cs="Segoe UI"/>
          <w:b/>
          <w:bCs/>
        </w:rPr>
        <w:t>Proponowane działania:</w:t>
      </w:r>
    </w:p>
    <w:p w14:paraId="35D9C827" w14:textId="3B31470F" w:rsidR="0041532A" w:rsidRDefault="0041532A" w:rsidP="0041532A">
      <w:pPr>
        <w:pStyle w:val="Akapitzlist"/>
        <w:numPr>
          <w:ilvl w:val="0"/>
          <w:numId w:val="12"/>
        </w:numPr>
        <w:spacing w:line="256" w:lineRule="auto"/>
        <w:jc w:val="both"/>
        <w:rPr>
          <w:rFonts w:ascii="Segoe UI" w:hAnsi="Segoe UI" w:cs="Segoe UI"/>
          <w:b/>
          <w:bCs/>
        </w:rPr>
      </w:pPr>
      <w:r>
        <w:rPr>
          <w:rFonts w:ascii="Segoe UI" w:hAnsi="Segoe UI" w:cs="Segoe UI"/>
          <w:b/>
          <w:bCs/>
        </w:rPr>
        <w:t>Rozbudowa dialogu na linii przemysł-administracja w zakresie barier dostępu do finansowania</w:t>
      </w:r>
    </w:p>
    <w:p w14:paraId="7EE0570C" w14:textId="5CFB14B6" w:rsidR="0041532A" w:rsidRDefault="3C9B9AB2" w:rsidP="0041532A">
      <w:pPr>
        <w:pStyle w:val="Akapitzlist"/>
        <w:numPr>
          <w:ilvl w:val="0"/>
          <w:numId w:val="12"/>
        </w:numPr>
        <w:spacing w:line="256" w:lineRule="auto"/>
        <w:jc w:val="both"/>
        <w:rPr>
          <w:rFonts w:ascii="Segoe UI" w:hAnsi="Segoe UI" w:cs="Segoe UI"/>
          <w:b/>
          <w:bCs/>
        </w:rPr>
      </w:pPr>
      <w:r w:rsidRPr="17A756DD">
        <w:rPr>
          <w:rFonts w:ascii="Segoe UI" w:hAnsi="Segoe UI" w:cs="Segoe UI"/>
          <w:b/>
          <w:bCs/>
        </w:rPr>
        <w:t xml:space="preserve">Uwzględnienie terenów przemysłowych i </w:t>
      </w:r>
      <w:proofErr w:type="spellStart"/>
      <w:r w:rsidRPr="17A756DD">
        <w:rPr>
          <w:rFonts w:ascii="Segoe UI" w:hAnsi="Segoe UI" w:cs="Segoe UI"/>
          <w:b/>
          <w:bCs/>
        </w:rPr>
        <w:t>okołoprzemysłowych</w:t>
      </w:r>
      <w:proofErr w:type="spellEnd"/>
      <w:r w:rsidRPr="17A756DD">
        <w:rPr>
          <w:rFonts w:ascii="Segoe UI" w:hAnsi="Segoe UI" w:cs="Segoe UI"/>
          <w:b/>
          <w:bCs/>
        </w:rPr>
        <w:t xml:space="preserve"> przy wyznaczaniu obszarów OZE</w:t>
      </w:r>
    </w:p>
    <w:p w14:paraId="7F78532D" w14:textId="77777777" w:rsidR="0041532A" w:rsidRDefault="0041532A" w:rsidP="0041532A">
      <w:pPr>
        <w:pStyle w:val="Akapitzlist"/>
        <w:numPr>
          <w:ilvl w:val="0"/>
          <w:numId w:val="12"/>
        </w:numPr>
        <w:spacing w:line="256" w:lineRule="auto"/>
        <w:jc w:val="both"/>
        <w:rPr>
          <w:rFonts w:ascii="Segoe UI" w:hAnsi="Segoe UI" w:cs="Segoe UI"/>
          <w:b/>
          <w:bCs/>
        </w:rPr>
      </w:pPr>
      <w:r>
        <w:rPr>
          <w:rFonts w:ascii="Segoe UI" w:hAnsi="Segoe UI" w:cs="Segoe UI"/>
          <w:b/>
          <w:bCs/>
        </w:rPr>
        <w:t>Uzupełnienie planowania rozwoju infrastruktury o uwzględnienie planów i potrzeb przemysłu</w:t>
      </w:r>
    </w:p>
    <w:p w14:paraId="39758A9F" w14:textId="77777777" w:rsidR="0041532A" w:rsidRDefault="0041532A" w:rsidP="0041532A">
      <w:pPr>
        <w:pStyle w:val="Akapitzlist"/>
        <w:jc w:val="both"/>
        <w:rPr>
          <w:rFonts w:ascii="Segoe UI" w:hAnsi="Segoe UI" w:cs="Segoe UI"/>
          <w:b/>
          <w:bCs/>
        </w:rPr>
      </w:pPr>
    </w:p>
    <w:p w14:paraId="6D53D405" w14:textId="2368D0FA" w:rsidR="0041532A" w:rsidRDefault="0041532A" w:rsidP="0041532A">
      <w:pPr>
        <w:pStyle w:val="Nagwek2"/>
        <w:jc w:val="both"/>
        <w:rPr>
          <w:rFonts w:ascii="Segoe UI" w:hAnsi="Segoe UI" w:cs="Segoe UI"/>
          <w:sz w:val="22"/>
          <w:szCs w:val="22"/>
        </w:rPr>
      </w:pPr>
      <w:r>
        <w:rPr>
          <w:rStyle w:val="normaltextrun"/>
          <w:rFonts w:ascii="Gill Sans Nova" w:hAnsi="Gill Sans Nova"/>
          <w:color w:val="0081FB"/>
        </w:rPr>
        <w:t xml:space="preserve">Temat </w:t>
      </w:r>
      <w:r w:rsidR="00B2191F">
        <w:rPr>
          <w:rStyle w:val="normaltextrun"/>
          <w:rFonts w:ascii="Gill Sans Nova" w:hAnsi="Gill Sans Nova"/>
          <w:color w:val="0081FB"/>
        </w:rPr>
        <w:t>3.</w:t>
      </w:r>
      <w:r>
        <w:rPr>
          <w:rStyle w:val="normaltextrun"/>
          <w:rFonts w:ascii="Gill Sans Nova" w:hAnsi="Gill Sans Nova"/>
          <w:color w:val="0081FB"/>
        </w:rPr>
        <w:t>2: Dostęp do czystej energii</w:t>
      </w:r>
    </w:p>
    <w:p w14:paraId="43F9B0FD" w14:textId="13A2D213" w:rsidR="0041532A" w:rsidRDefault="3C9B9AB2" w:rsidP="0041532A">
      <w:pPr>
        <w:jc w:val="both"/>
        <w:rPr>
          <w:rFonts w:ascii="Segoe UI" w:hAnsi="Segoe UI" w:cs="Segoe UI"/>
        </w:rPr>
      </w:pPr>
      <w:r w:rsidRPr="17A756DD">
        <w:rPr>
          <w:rFonts w:ascii="Segoe UI" w:hAnsi="Segoe UI" w:cs="Segoe UI"/>
        </w:rPr>
        <w:t>W zakresie dostępu do czystej energii odnotowano braki w KPEIK w zakresie pomysłów na energetykę przemysłową przy jednoczesnej dużej presji na dekarbonizacje przemysłu płynącej m.in. od odbiorców w łańcuchach wartości. Presja ta rodzi dla niektórych branż konieczność dostarczania produktów w 100% neutralnych emisyjnie już teraz. Zadeklarowana została gotowość przemysłu do rozbudowy własnych mocy wytwórczych OZE oraz instalacji CHP. Wyrażono przekonanie, że odciążyłoby to sieć energetyczną, choć zauważono, że wiele zakładów nie zdoła pokryć w ten sposób więcej niż 20% zapotrzebowania na moc. Podkreślono też konieczność skorelowania mocy instalacji energetyki przemysłowej z zapotrzebowaniem w celu zapobieżenia wprowadzaniu do sieci „pustej” energii</w:t>
      </w:r>
      <w:r w:rsidR="3F5900AD" w:rsidRPr="17A756DD">
        <w:rPr>
          <w:rFonts w:ascii="Segoe UI" w:hAnsi="Segoe UI" w:cs="Segoe UI"/>
        </w:rPr>
        <w:t xml:space="preserve">, </w:t>
      </w:r>
      <w:r w:rsidRPr="17A756DD">
        <w:rPr>
          <w:rFonts w:ascii="Segoe UI" w:hAnsi="Segoe UI" w:cs="Segoe UI"/>
        </w:rPr>
        <w:t>na którą nie będzie zapotrzebowania w danym momencie.</w:t>
      </w:r>
    </w:p>
    <w:p w14:paraId="5D07A669" w14:textId="77777777" w:rsidR="0041532A" w:rsidRDefault="0041532A" w:rsidP="0041532A">
      <w:pPr>
        <w:jc w:val="both"/>
        <w:rPr>
          <w:rFonts w:ascii="Segoe UI" w:hAnsi="Segoe UI" w:cs="Segoe UI"/>
        </w:rPr>
      </w:pPr>
      <w:r>
        <w:rPr>
          <w:rFonts w:ascii="Segoe UI" w:hAnsi="Segoe UI" w:cs="Segoe UI"/>
        </w:rPr>
        <w:t>Pokrótce omówiono także wątek produktowych magazynów energii, jednak nie sformułowano konkluzji.</w:t>
      </w:r>
    </w:p>
    <w:p w14:paraId="0987F572" w14:textId="66122F85" w:rsidR="0041532A" w:rsidRDefault="0041532A" w:rsidP="0041532A">
      <w:pPr>
        <w:jc w:val="both"/>
        <w:rPr>
          <w:rFonts w:ascii="Segoe UI" w:hAnsi="Segoe UI" w:cs="Segoe UI"/>
        </w:rPr>
      </w:pPr>
      <w:r>
        <w:rPr>
          <w:rFonts w:ascii="Segoe UI" w:hAnsi="Segoe UI" w:cs="Segoe UI"/>
        </w:rPr>
        <w:lastRenderedPageBreak/>
        <w:t xml:space="preserve">W przypadku sektorów z dużym udziałem biomasy stałej odnotowano również, że z czasem instalacje </w:t>
      </w:r>
      <w:r w:rsidR="00B80C0C">
        <w:rPr>
          <w:rFonts w:ascii="Segoe UI" w:hAnsi="Segoe UI" w:cs="Segoe UI"/>
        </w:rPr>
        <w:t>CHP korzystające z biomasy</w:t>
      </w:r>
      <w:r>
        <w:rPr>
          <w:rFonts w:ascii="Segoe UI" w:hAnsi="Segoe UI" w:cs="Segoe UI"/>
        </w:rPr>
        <w:t xml:space="preserve"> </w:t>
      </w:r>
      <w:r w:rsidR="00B80C0C">
        <w:rPr>
          <w:rFonts w:ascii="Segoe UI" w:hAnsi="Segoe UI" w:cs="Segoe UI"/>
        </w:rPr>
        <w:t>mogą zmienić charakter w systemie: z</w:t>
      </w:r>
      <w:r>
        <w:rPr>
          <w:rFonts w:ascii="Segoe UI" w:hAnsi="Segoe UI" w:cs="Segoe UI"/>
        </w:rPr>
        <w:t xml:space="preserve"> </w:t>
      </w:r>
      <w:r w:rsidR="00B80C0C">
        <w:rPr>
          <w:rFonts w:ascii="Segoe UI" w:hAnsi="Segoe UI" w:cs="Segoe UI"/>
        </w:rPr>
        <w:t xml:space="preserve">pracy na potrzeby </w:t>
      </w:r>
      <w:proofErr w:type="spellStart"/>
      <w:r w:rsidR="00B80C0C">
        <w:rPr>
          <w:rFonts w:ascii="Segoe UI" w:hAnsi="Segoe UI" w:cs="Segoe UI"/>
        </w:rPr>
        <w:t>autokonsumpcji</w:t>
      </w:r>
      <w:proofErr w:type="spellEnd"/>
      <w:r w:rsidR="00B80C0C">
        <w:rPr>
          <w:rFonts w:ascii="Segoe UI" w:hAnsi="Segoe UI" w:cs="Segoe UI"/>
        </w:rPr>
        <w:t xml:space="preserve"> na rzecz wsparcia </w:t>
      </w:r>
      <w:r>
        <w:rPr>
          <w:rFonts w:ascii="Segoe UI" w:hAnsi="Segoe UI" w:cs="Segoe UI"/>
        </w:rPr>
        <w:t>bilansowani</w:t>
      </w:r>
      <w:r w:rsidR="00B80C0C">
        <w:rPr>
          <w:rFonts w:ascii="Segoe UI" w:hAnsi="Segoe UI" w:cs="Segoe UI"/>
        </w:rPr>
        <w:t>a całego systemu (przy jednoczesnej elektryfikacji popytu na ciepło w ramach sektora)</w:t>
      </w:r>
      <w:r>
        <w:rPr>
          <w:rFonts w:ascii="Segoe UI" w:hAnsi="Segoe UI" w:cs="Segoe UI"/>
        </w:rPr>
        <w:t>.</w:t>
      </w:r>
    </w:p>
    <w:p w14:paraId="3FDFCE16" w14:textId="77777777" w:rsidR="0041532A" w:rsidRDefault="0041532A" w:rsidP="0041532A">
      <w:pPr>
        <w:jc w:val="both"/>
        <w:rPr>
          <w:rFonts w:ascii="Segoe UI" w:hAnsi="Segoe UI" w:cs="Segoe UI"/>
          <w:b/>
          <w:bCs/>
        </w:rPr>
      </w:pPr>
      <w:r>
        <w:rPr>
          <w:rFonts w:ascii="Segoe UI" w:hAnsi="Segoe UI" w:cs="Segoe UI"/>
          <w:b/>
          <w:bCs/>
        </w:rPr>
        <w:t>Proponowane działania:</w:t>
      </w:r>
    </w:p>
    <w:p w14:paraId="07F1FA43" w14:textId="1FA3604B" w:rsidR="0041532A" w:rsidRDefault="3C9B9AB2" w:rsidP="0041532A">
      <w:pPr>
        <w:pStyle w:val="Akapitzlist"/>
        <w:numPr>
          <w:ilvl w:val="0"/>
          <w:numId w:val="13"/>
        </w:numPr>
        <w:spacing w:line="256" w:lineRule="auto"/>
        <w:jc w:val="both"/>
        <w:rPr>
          <w:rFonts w:ascii="Segoe UI" w:hAnsi="Segoe UI" w:cs="Segoe UI"/>
          <w:b/>
          <w:bCs/>
        </w:rPr>
      </w:pPr>
      <w:r w:rsidRPr="17A756DD">
        <w:rPr>
          <w:rFonts w:ascii="Segoe UI" w:hAnsi="Segoe UI" w:cs="Segoe UI"/>
          <w:b/>
          <w:bCs/>
        </w:rPr>
        <w:t>Planowanie infrastruktury dostępu do czystej energii (wodór, OZE, usuwania CO2)</w:t>
      </w:r>
      <w:r w:rsidR="0041532A" w:rsidRPr="17A756DD" w:rsidDel="3C9B9AB2">
        <w:rPr>
          <w:rFonts w:ascii="Segoe UI" w:hAnsi="Segoe UI" w:cs="Segoe UI"/>
          <w:b/>
          <w:bCs/>
        </w:rPr>
        <w:t xml:space="preserve"> </w:t>
      </w:r>
      <w:r w:rsidRPr="17A756DD">
        <w:rPr>
          <w:rFonts w:ascii="Segoe UI" w:hAnsi="Segoe UI" w:cs="Segoe UI"/>
          <w:b/>
          <w:bCs/>
        </w:rPr>
        <w:t>- zwrot do mapowania i planowania rozwoju infrastruktury sieciowej w oparciu o potrzeby przemysłu</w:t>
      </w:r>
    </w:p>
    <w:p w14:paraId="691A8EC4" w14:textId="77777777" w:rsidR="0041532A" w:rsidRDefault="0041532A" w:rsidP="0041532A">
      <w:pPr>
        <w:pStyle w:val="Akapitzlist"/>
        <w:numPr>
          <w:ilvl w:val="0"/>
          <w:numId w:val="13"/>
        </w:numPr>
        <w:spacing w:line="256" w:lineRule="auto"/>
        <w:jc w:val="both"/>
        <w:rPr>
          <w:rFonts w:ascii="Segoe UI" w:hAnsi="Segoe UI" w:cs="Segoe UI"/>
          <w:b/>
          <w:bCs/>
        </w:rPr>
      </w:pPr>
      <w:r>
        <w:rPr>
          <w:rFonts w:ascii="Segoe UI" w:hAnsi="Segoe UI" w:cs="Segoe UI"/>
          <w:b/>
          <w:bCs/>
        </w:rPr>
        <w:t>Nowe podejście do energetyki przemysłowej – koniec ze spojrzeniem izolowanym, traktowanie mocy przemysłowych jako zintegrowanego elementu systemu</w:t>
      </w:r>
    </w:p>
    <w:p w14:paraId="3AE3D869" w14:textId="77777777" w:rsidR="0041532A" w:rsidRDefault="0041532A" w:rsidP="0041532A">
      <w:pPr>
        <w:pStyle w:val="Akapitzlist"/>
        <w:numPr>
          <w:ilvl w:val="0"/>
          <w:numId w:val="13"/>
        </w:numPr>
        <w:spacing w:line="256" w:lineRule="auto"/>
        <w:jc w:val="both"/>
        <w:rPr>
          <w:rFonts w:ascii="Segoe UI" w:hAnsi="Segoe UI" w:cs="Segoe UI"/>
          <w:b/>
          <w:bCs/>
        </w:rPr>
      </w:pPr>
      <w:r>
        <w:rPr>
          <w:rFonts w:ascii="Segoe UI" w:hAnsi="Segoe UI" w:cs="Segoe UI"/>
          <w:b/>
          <w:bCs/>
        </w:rPr>
        <w:t>Bardziej aktywne uczestnictwo przemysłu w dyskusji o reformie rynku energii</w:t>
      </w:r>
    </w:p>
    <w:p w14:paraId="2F63DCDF" w14:textId="77777777" w:rsidR="0041532A" w:rsidRDefault="0041532A" w:rsidP="0041532A">
      <w:pPr>
        <w:pStyle w:val="Akapitzlist"/>
        <w:spacing w:line="256" w:lineRule="auto"/>
        <w:jc w:val="both"/>
        <w:rPr>
          <w:rFonts w:ascii="Segoe UI" w:hAnsi="Segoe UI" w:cs="Segoe UI"/>
          <w:b/>
          <w:bCs/>
        </w:rPr>
      </w:pPr>
    </w:p>
    <w:p w14:paraId="51F1FA80" w14:textId="6782187E" w:rsidR="0041532A" w:rsidRDefault="0041532A" w:rsidP="0041532A">
      <w:pPr>
        <w:pStyle w:val="Nagwek2"/>
        <w:jc w:val="both"/>
        <w:rPr>
          <w:rFonts w:ascii="Segoe UI" w:hAnsi="Segoe UI" w:cs="Segoe UI"/>
          <w:sz w:val="22"/>
          <w:szCs w:val="22"/>
        </w:rPr>
      </w:pPr>
      <w:r>
        <w:rPr>
          <w:rStyle w:val="normaltextrun"/>
          <w:rFonts w:ascii="Gill Sans Nova" w:hAnsi="Gill Sans Nova"/>
          <w:color w:val="0081FB"/>
        </w:rPr>
        <w:t xml:space="preserve">Temat </w:t>
      </w:r>
      <w:r w:rsidR="00B2191F">
        <w:rPr>
          <w:rStyle w:val="normaltextrun"/>
          <w:rFonts w:ascii="Gill Sans Nova" w:hAnsi="Gill Sans Nova"/>
          <w:color w:val="0081FB"/>
        </w:rPr>
        <w:t>3.</w:t>
      </w:r>
      <w:r>
        <w:rPr>
          <w:rStyle w:val="normaltextrun"/>
          <w:rFonts w:ascii="Gill Sans Nova" w:hAnsi="Gill Sans Nova"/>
          <w:color w:val="0081FB"/>
        </w:rPr>
        <w:t>3: Wodór</w:t>
      </w:r>
    </w:p>
    <w:p w14:paraId="4B23EFD8" w14:textId="4ABE93D2" w:rsidR="0041532A" w:rsidRDefault="0041532A" w:rsidP="0041532A">
      <w:pPr>
        <w:jc w:val="both"/>
        <w:rPr>
          <w:rFonts w:ascii="Segoe UI" w:hAnsi="Segoe UI" w:cs="Segoe UI"/>
        </w:rPr>
      </w:pPr>
      <w:r>
        <w:rPr>
          <w:rFonts w:ascii="Segoe UI" w:hAnsi="Segoe UI" w:cs="Segoe UI"/>
        </w:rPr>
        <w:t xml:space="preserve">W zakresie technologii wodorowych, poruszono kwestie stosowania mechanizmu </w:t>
      </w:r>
      <w:proofErr w:type="spellStart"/>
      <w:r>
        <w:rPr>
          <w:rFonts w:ascii="Segoe UI" w:hAnsi="Segoe UI" w:cs="Segoe UI"/>
        </w:rPr>
        <w:t>auction</w:t>
      </w:r>
      <w:proofErr w:type="spellEnd"/>
      <w:r>
        <w:rPr>
          <w:rFonts w:ascii="Segoe UI" w:hAnsi="Segoe UI" w:cs="Segoe UI"/>
        </w:rPr>
        <w:t>-as-service dla technologii wodorowych, w ramach którego państwa mogą z własnego budżetu subsydiować projekty, które nie wygrały aukcji</w:t>
      </w:r>
      <w:r w:rsidR="00B80C0C">
        <w:rPr>
          <w:rFonts w:ascii="Segoe UI" w:hAnsi="Segoe UI" w:cs="Segoe UI"/>
        </w:rPr>
        <w:t xml:space="preserve"> ogólnoeuropejskich w ramach Europejskiego Banku Wodorowego</w:t>
      </w:r>
      <w:r>
        <w:rPr>
          <w:rFonts w:ascii="Segoe UI" w:hAnsi="Segoe UI" w:cs="Segoe UI"/>
        </w:rPr>
        <w:t xml:space="preserve">. Zwrócono jednak uwagę, że w polskich warunkach dozwolone limity cenowe byłyby niewystarczające w stosunku do kosztów produkcji. Poddano w wątpliwość zasadność zunifikowanego celu udziału wodoru w rynku dla wszystkich państw członkowskich wobec zasadniczych różnic w potencjałach gospodarek wodorowych wynikających np. z wpływu warunków geograficznych na </w:t>
      </w:r>
      <w:proofErr w:type="spellStart"/>
      <w:r>
        <w:rPr>
          <w:rFonts w:ascii="Segoe UI" w:hAnsi="Segoe UI" w:cs="Segoe UI"/>
        </w:rPr>
        <w:t>miks</w:t>
      </w:r>
      <w:proofErr w:type="spellEnd"/>
      <w:r>
        <w:rPr>
          <w:rFonts w:ascii="Segoe UI" w:hAnsi="Segoe UI" w:cs="Segoe UI"/>
        </w:rPr>
        <w:t xml:space="preserve"> energetyczny oraz kwestię ryzyka uzależnienia gospodarek UE, w tym polskiej, od importowanego wodoru oraz związanych z tym „kosztów ukrytych” w dziedzinie bezpieczeństwa. </w:t>
      </w:r>
    </w:p>
    <w:p w14:paraId="3CB50829" w14:textId="77777777" w:rsidR="0041532A" w:rsidRDefault="0041532A" w:rsidP="0041532A">
      <w:pPr>
        <w:jc w:val="both"/>
        <w:rPr>
          <w:rFonts w:ascii="Segoe UI" w:hAnsi="Segoe UI" w:cs="Segoe UI"/>
        </w:rPr>
      </w:pPr>
      <w:r>
        <w:rPr>
          <w:rFonts w:ascii="Segoe UI" w:hAnsi="Segoe UI" w:cs="Segoe UI"/>
        </w:rPr>
        <w:t>Zauważono, że unijny cel wodorowy de facto konsumuje cały potencjał do rozwoju OZE do końca obecnej dekady oraz wciąż niski poziom technologiczny polskiej technologii wodorowej, która pozostaje w fazie planowania i koncepcji. Zauważono brak dostosowania większości dostępnych typów elektrolizerów do pracy przerywanej.</w:t>
      </w:r>
    </w:p>
    <w:p w14:paraId="0806ECCE" w14:textId="04980740" w:rsidR="0041532A" w:rsidRDefault="3C9B9AB2" w:rsidP="0041532A">
      <w:pPr>
        <w:jc w:val="both"/>
        <w:rPr>
          <w:rFonts w:ascii="Segoe UI" w:hAnsi="Segoe UI" w:cs="Segoe UI"/>
        </w:rPr>
      </w:pPr>
      <w:r w:rsidRPr="17A756DD">
        <w:rPr>
          <w:rFonts w:ascii="Segoe UI" w:hAnsi="Segoe UI" w:cs="Segoe UI"/>
        </w:rPr>
        <w:t xml:space="preserve">W zakresie wsparcia kompleksowej dekarbonizacji wskazano na próby pobudzania zainteresowania koncepcja </w:t>
      </w:r>
      <w:proofErr w:type="spellStart"/>
      <w:r w:rsidRPr="17A756DD">
        <w:rPr>
          <w:rFonts w:ascii="Segoe UI" w:hAnsi="Segoe UI" w:cs="Segoe UI"/>
        </w:rPr>
        <w:t>carbon</w:t>
      </w:r>
      <w:proofErr w:type="spellEnd"/>
      <w:r w:rsidRPr="17A756DD">
        <w:rPr>
          <w:rFonts w:ascii="Segoe UI" w:hAnsi="Segoe UI" w:cs="Segoe UI"/>
        </w:rPr>
        <w:t xml:space="preserve"> CFD, nie znajdujące jednak dotąd odzwierciedlenia w aktualizacji </w:t>
      </w:r>
      <w:proofErr w:type="spellStart"/>
      <w:r w:rsidR="5DEBA8DC" w:rsidRPr="19D7A4A9">
        <w:rPr>
          <w:rFonts w:ascii="Segoe UI" w:hAnsi="Segoe UI" w:cs="Segoe UI"/>
        </w:rPr>
        <w:t>KPE</w:t>
      </w:r>
      <w:r w:rsidR="2B4D002B" w:rsidRPr="19D7A4A9">
        <w:rPr>
          <w:rFonts w:ascii="Segoe UI" w:hAnsi="Segoe UI" w:cs="Segoe UI"/>
        </w:rPr>
        <w:t>i</w:t>
      </w:r>
      <w:r w:rsidR="5DEBA8DC" w:rsidRPr="19D7A4A9">
        <w:rPr>
          <w:rFonts w:ascii="Segoe UI" w:hAnsi="Segoe UI" w:cs="Segoe UI"/>
        </w:rPr>
        <w:t>K</w:t>
      </w:r>
      <w:proofErr w:type="spellEnd"/>
      <w:r w:rsidRPr="17A756DD">
        <w:rPr>
          <w:rFonts w:ascii="Segoe UI" w:hAnsi="Segoe UI" w:cs="Segoe UI"/>
        </w:rPr>
        <w:t xml:space="preserve">, oraz ogólna szczupłość strategicznych decyzji dot. finansowania w </w:t>
      </w:r>
      <w:proofErr w:type="spellStart"/>
      <w:r w:rsidRPr="17A756DD">
        <w:rPr>
          <w:rFonts w:ascii="Segoe UI" w:hAnsi="Segoe UI" w:cs="Segoe UI"/>
        </w:rPr>
        <w:t>KPEiK</w:t>
      </w:r>
      <w:proofErr w:type="spellEnd"/>
      <w:r w:rsidRPr="17A756DD">
        <w:rPr>
          <w:rFonts w:ascii="Segoe UI" w:hAnsi="Segoe UI" w:cs="Segoe UI"/>
        </w:rPr>
        <w:t xml:space="preserve"> – poza faktycznym powtórzeniem planów KPO dot. wodoru. Wedle informacji strony rządowej, bardziej rozbudowany rozdział dot. finansowania ma finalnie trafić do aktualizacji, jednak praca nad nim wymaga jeszcze czasu.</w:t>
      </w:r>
    </w:p>
    <w:p w14:paraId="0CB7617F" w14:textId="77777777" w:rsidR="0041532A" w:rsidRDefault="0041532A" w:rsidP="0041532A">
      <w:pPr>
        <w:jc w:val="both"/>
        <w:rPr>
          <w:rFonts w:ascii="Segoe UI" w:hAnsi="Segoe UI" w:cs="Segoe UI"/>
          <w:b/>
          <w:bCs/>
        </w:rPr>
      </w:pPr>
      <w:r>
        <w:rPr>
          <w:rFonts w:ascii="Segoe UI" w:hAnsi="Segoe UI" w:cs="Segoe UI"/>
          <w:b/>
          <w:bCs/>
        </w:rPr>
        <w:t>Proponowane działania:</w:t>
      </w:r>
    </w:p>
    <w:p w14:paraId="722403A0" w14:textId="48DBD482" w:rsidR="0041532A" w:rsidRDefault="457CBBF9" w:rsidP="0041532A">
      <w:pPr>
        <w:pStyle w:val="Akapitzlist"/>
        <w:numPr>
          <w:ilvl w:val="0"/>
          <w:numId w:val="14"/>
        </w:numPr>
        <w:spacing w:line="256" w:lineRule="auto"/>
        <w:jc w:val="both"/>
        <w:rPr>
          <w:rFonts w:ascii="Segoe UI" w:hAnsi="Segoe UI" w:cs="Segoe UI"/>
          <w:b/>
          <w:bCs/>
        </w:rPr>
      </w:pPr>
      <w:r w:rsidRPr="457CBBF9">
        <w:rPr>
          <w:rFonts w:ascii="Segoe UI" w:hAnsi="Segoe UI" w:cs="Segoe UI"/>
          <w:b/>
          <w:bCs/>
        </w:rPr>
        <w:t>Przeznaczenie części środków z ETS pochodzącej ze sprzedaży uprawnień przemysłowi (rosnąca pula wraz z wycofywaniem bezpłatnych uprawnień) na wsparcie transformacji przemysłu w ramach Funduszu Transformacji Energetycznej.</w:t>
      </w:r>
    </w:p>
    <w:p w14:paraId="720D3173" w14:textId="74F6BC71" w:rsidR="457CBBF9" w:rsidRDefault="457CBBF9" w:rsidP="457CBBF9">
      <w:pPr>
        <w:pStyle w:val="Akapitzlist"/>
        <w:numPr>
          <w:ilvl w:val="0"/>
          <w:numId w:val="14"/>
        </w:numPr>
        <w:spacing w:line="256" w:lineRule="auto"/>
        <w:jc w:val="both"/>
        <w:rPr>
          <w:rFonts w:ascii="Segoe UI" w:eastAsia="Segoe UI" w:hAnsi="Segoe UI" w:cs="Segoe UI"/>
          <w:b/>
          <w:bCs/>
        </w:rPr>
      </w:pPr>
      <w:r w:rsidRPr="457CBBF9">
        <w:rPr>
          <w:rFonts w:ascii="Segoe UI" w:eastAsia="Segoe UI" w:hAnsi="Segoe UI" w:cs="Segoe UI"/>
          <w:b/>
          <w:bCs/>
        </w:rPr>
        <w:lastRenderedPageBreak/>
        <w:t xml:space="preserve">W procesie planowanie infrastruktury wytwarzania zielonego wodoru należy uwzględnić dostęp do zasobów wody koniecznej do wytwarzania wodoru w procesie elektrolizy. </w:t>
      </w:r>
    </w:p>
    <w:p w14:paraId="55C7039A" w14:textId="7872E55D" w:rsidR="457CBBF9" w:rsidRDefault="457CBBF9" w:rsidP="004009E5">
      <w:pPr>
        <w:pStyle w:val="Akapitzlist"/>
        <w:numPr>
          <w:ilvl w:val="0"/>
          <w:numId w:val="14"/>
        </w:numPr>
        <w:spacing w:after="0"/>
        <w:rPr>
          <w:rFonts w:ascii="Segoe UI" w:eastAsia="Segoe UI" w:hAnsi="Segoe UI" w:cs="Segoe UI"/>
          <w:b/>
          <w:bCs/>
        </w:rPr>
      </w:pPr>
      <w:r w:rsidRPr="457CBBF9">
        <w:rPr>
          <w:rFonts w:ascii="Segoe UI" w:eastAsia="Segoe UI" w:hAnsi="Segoe UI" w:cs="Segoe UI"/>
          <w:b/>
          <w:bCs/>
        </w:rPr>
        <w:t xml:space="preserve">Efektywność energetyczna wytwarzania zielonego wodoru uwzgledniająca wszystkie procesy takie jak m.in. pozyskanie i przygotowanie wody, elektroliza, magazynowanie i transport do „konsumenta”, powinny mieć istotny wpływ na decyzje o wsparciu finansowym danego projektu.    </w:t>
      </w:r>
    </w:p>
    <w:p w14:paraId="0469C5F2" w14:textId="0CCB0F17" w:rsidR="457CBBF9" w:rsidRDefault="457CBBF9" w:rsidP="004009E5">
      <w:pPr>
        <w:pStyle w:val="Akapitzlist"/>
        <w:numPr>
          <w:ilvl w:val="0"/>
          <w:numId w:val="14"/>
        </w:numPr>
        <w:spacing w:after="0"/>
        <w:rPr>
          <w:rFonts w:ascii="Segoe UI" w:eastAsia="Segoe UI" w:hAnsi="Segoe UI" w:cs="Segoe UI"/>
          <w:b/>
          <w:bCs/>
        </w:rPr>
      </w:pPr>
      <w:r w:rsidRPr="457CBBF9">
        <w:rPr>
          <w:rFonts w:ascii="Segoe UI" w:eastAsia="Segoe UI" w:hAnsi="Segoe UI" w:cs="Segoe UI"/>
          <w:b/>
          <w:bCs/>
        </w:rPr>
        <w:t>Należy opracować wymagania techniczne dla instalacji dużych i wielkich mocy do podłączanych do sieci elektroenergetycznych, żeby zminimalizować ich wpływ na jakość energii i zapewnić stabilną prace systemu elektroenergetycznego w różnych stanach pracy.</w:t>
      </w:r>
    </w:p>
    <w:p w14:paraId="63307725" w14:textId="122BB6BB" w:rsidR="0041532A" w:rsidRDefault="0041532A" w:rsidP="0041532A">
      <w:pPr>
        <w:pStyle w:val="Nagwek2"/>
        <w:jc w:val="both"/>
        <w:rPr>
          <w:rFonts w:ascii="Segoe UI" w:hAnsi="Segoe UI" w:cs="Segoe UI"/>
          <w:sz w:val="22"/>
          <w:szCs w:val="22"/>
        </w:rPr>
      </w:pPr>
      <w:bookmarkStart w:id="1" w:name="_Hlk165307324"/>
      <w:r>
        <w:rPr>
          <w:rStyle w:val="normaltextrun"/>
          <w:rFonts w:ascii="Gill Sans Nova" w:hAnsi="Gill Sans Nova"/>
          <w:color w:val="0081FB"/>
        </w:rPr>
        <w:t xml:space="preserve">Temat </w:t>
      </w:r>
      <w:r w:rsidR="00B2191F">
        <w:rPr>
          <w:rStyle w:val="normaltextrun"/>
          <w:rFonts w:ascii="Gill Sans Nova" w:hAnsi="Gill Sans Nova"/>
          <w:color w:val="0081FB"/>
        </w:rPr>
        <w:t>3.</w:t>
      </w:r>
      <w:r>
        <w:rPr>
          <w:rStyle w:val="normaltextrun"/>
          <w:rFonts w:ascii="Gill Sans Nova" w:hAnsi="Gill Sans Nova"/>
          <w:color w:val="0081FB"/>
        </w:rPr>
        <w:t xml:space="preserve">4: Efektywność energetyczna </w:t>
      </w:r>
      <w:bookmarkEnd w:id="1"/>
      <w:r>
        <w:rPr>
          <w:rStyle w:val="normaltextrun"/>
          <w:rFonts w:ascii="Gill Sans Nova" w:hAnsi="Gill Sans Nova"/>
          <w:color w:val="0081FB"/>
        </w:rPr>
        <w:t>+ ciepło odpadowe</w:t>
      </w:r>
    </w:p>
    <w:p w14:paraId="5557AC58" w14:textId="34745000" w:rsidR="0041532A" w:rsidRDefault="0041532A" w:rsidP="0041532A">
      <w:pPr>
        <w:jc w:val="both"/>
        <w:rPr>
          <w:rFonts w:ascii="Segoe UI" w:hAnsi="Segoe UI" w:cs="Segoe UI"/>
        </w:rPr>
      </w:pPr>
      <w:r>
        <w:rPr>
          <w:rFonts w:ascii="Segoe UI" w:hAnsi="Segoe UI" w:cs="Segoe UI"/>
          <w:b/>
          <w:bCs/>
          <w:u w:val="single"/>
        </w:rPr>
        <w:t xml:space="preserve">W zakresie efektywności energetycznej </w:t>
      </w:r>
      <w:r>
        <w:rPr>
          <w:rFonts w:ascii="Segoe UI" w:hAnsi="Segoe UI" w:cs="Segoe UI"/>
        </w:rPr>
        <w:t>odnotowano wagę odpowiedniej parametryzacji zakładów przemysłowych jeszcze na etapie projektowania, w tym projektowanie oparte na założeniu maksymalnego wychwytu ciepła odpadowego. Wskazano, że wynikająca z przepisów prawa UE definicja systemu efektywnego energetycznie obejmie konieczność wzrostu zagospodarowania ciepła odpadowego</w:t>
      </w:r>
    </w:p>
    <w:p w14:paraId="1F7B8702" w14:textId="77777777" w:rsidR="0041532A" w:rsidRDefault="0041532A" w:rsidP="0041532A">
      <w:pPr>
        <w:jc w:val="both"/>
        <w:rPr>
          <w:rFonts w:ascii="Segoe UI" w:hAnsi="Segoe UI" w:cs="Segoe UI"/>
          <w:b/>
          <w:bCs/>
        </w:rPr>
      </w:pPr>
      <w:r>
        <w:rPr>
          <w:rFonts w:ascii="Segoe UI" w:hAnsi="Segoe UI" w:cs="Segoe UI"/>
          <w:b/>
          <w:bCs/>
        </w:rPr>
        <w:t>Proponowane działania:</w:t>
      </w:r>
    </w:p>
    <w:p w14:paraId="60F725CD" w14:textId="660CC0E7" w:rsidR="0041532A" w:rsidRPr="00B80C0C" w:rsidRDefault="0041532A" w:rsidP="00B80C0C">
      <w:pPr>
        <w:pStyle w:val="Akapitzlist"/>
        <w:numPr>
          <w:ilvl w:val="0"/>
          <w:numId w:val="14"/>
        </w:numPr>
        <w:jc w:val="both"/>
        <w:rPr>
          <w:rFonts w:ascii="Segoe UI" w:hAnsi="Segoe UI" w:cs="Segoe UI"/>
          <w:b/>
          <w:bCs/>
        </w:rPr>
      </w:pPr>
      <w:r w:rsidRPr="00B80C0C">
        <w:rPr>
          <w:rFonts w:ascii="Segoe UI" w:hAnsi="Segoe UI" w:cs="Segoe UI"/>
          <w:b/>
          <w:bCs/>
        </w:rPr>
        <w:t xml:space="preserve">Regulacja dot. wykorzystania ciepła odpadowego, [postawienie go na równi z OZE] + edukacja w zakresie możliwości wykorzystania tegoż – </w:t>
      </w:r>
      <w:r w:rsidR="00B80C0C">
        <w:rPr>
          <w:rFonts w:ascii="Segoe UI" w:hAnsi="Segoe UI" w:cs="Segoe UI"/>
          <w:b/>
          <w:bCs/>
        </w:rPr>
        <w:t>poprzez implementację nowych zapisów</w:t>
      </w:r>
      <w:r w:rsidRPr="00B80C0C">
        <w:rPr>
          <w:rFonts w:ascii="Segoe UI" w:hAnsi="Segoe UI" w:cs="Segoe UI"/>
          <w:b/>
          <w:bCs/>
        </w:rPr>
        <w:t xml:space="preserve"> EED</w:t>
      </w:r>
      <w:r w:rsidR="00B80C0C">
        <w:rPr>
          <w:rFonts w:ascii="Segoe UI" w:hAnsi="Segoe UI" w:cs="Segoe UI"/>
          <w:b/>
          <w:bCs/>
        </w:rPr>
        <w:t>.</w:t>
      </w:r>
    </w:p>
    <w:p w14:paraId="04720DA8" w14:textId="493467A4" w:rsidR="0041532A" w:rsidRDefault="0041532A" w:rsidP="0041532A">
      <w:pPr>
        <w:pStyle w:val="Nagwek2"/>
        <w:jc w:val="both"/>
        <w:rPr>
          <w:rFonts w:ascii="Segoe UI" w:hAnsi="Segoe UI" w:cs="Segoe UI"/>
        </w:rPr>
      </w:pPr>
      <w:r>
        <w:rPr>
          <w:rStyle w:val="normaltextrun"/>
          <w:rFonts w:ascii="Gill Sans Nova" w:hAnsi="Gill Sans Nova"/>
          <w:color w:val="0081FB"/>
        </w:rPr>
        <w:t xml:space="preserve">Temat </w:t>
      </w:r>
      <w:r w:rsidR="00B2191F">
        <w:rPr>
          <w:rStyle w:val="normaltextrun"/>
          <w:rFonts w:ascii="Gill Sans Nova" w:hAnsi="Gill Sans Nova"/>
          <w:color w:val="0081FB"/>
        </w:rPr>
        <w:t>3.</w:t>
      </w:r>
      <w:r>
        <w:rPr>
          <w:rStyle w:val="normaltextrun"/>
          <w:rFonts w:ascii="Gill Sans Nova" w:hAnsi="Gill Sans Nova"/>
          <w:color w:val="0081FB"/>
        </w:rPr>
        <w:t>5: CCS i CCU</w:t>
      </w:r>
    </w:p>
    <w:p w14:paraId="268293E4" w14:textId="73D0A5AC" w:rsidR="0041532A" w:rsidRDefault="457CBBF9" w:rsidP="0041532A">
      <w:pPr>
        <w:jc w:val="both"/>
        <w:rPr>
          <w:rFonts w:ascii="Segoe UI" w:hAnsi="Segoe UI" w:cs="Segoe UI"/>
        </w:rPr>
      </w:pPr>
      <w:r w:rsidRPr="457CBBF9">
        <w:rPr>
          <w:rFonts w:ascii="Segoe UI" w:hAnsi="Segoe UI" w:cs="Segoe UI"/>
        </w:rPr>
        <w:t>W kwestii CCS, przedstawiciele branży zwrócili uwagę na konieczność ustanowienia krajowego operatora magazynów, lepszego zmapowania sektorów z potencjałem rozwoju CCS oraz doregulowania warunków wprowadzania wychwyconego dwutlenku węgla na rynek. Zwrócono uwagę na udział CCS w zwiększaniu zapotrzebowania na energię i wskazano celowość uwzględnienia tej kwestii w planowaniu rozwoju sieci elektroenergetycznych.</w:t>
      </w:r>
    </w:p>
    <w:p w14:paraId="7A704B98" w14:textId="77777777" w:rsidR="0041532A" w:rsidRDefault="0041532A" w:rsidP="0041532A">
      <w:pPr>
        <w:jc w:val="both"/>
        <w:rPr>
          <w:rFonts w:ascii="Segoe UI" w:hAnsi="Segoe UI" w:cs="Segoe UI"/>
          <w:b/>
          <w:bCs/>
        </w:rPr>
      </w:pPr>
      <w:r>
        <w:rPr>
          <w:rFonts w:ascii="Segoe UI" w:hAnsi="Segoe UI" w:cs="Segoe UI"/>
          <w:b/>
          <w:bCs/>
        </w:rPr>
        <w:t>Proponowane działania:</w:t>
      </w:r>
    </w:p>
    <w:p w14:paraId="41110825" w14:textId="05431B7B" w:rsidR="0041532A" w:rsidRDefault="0041532A" w:rsidP="0041532A">
      <w:pPr>
        <w:pStyle w:val="Akapitzlist"/>
        <w:numPr>
          <w:ilvl w:val="0"/>
          <w:numId w:val="14"/>
        </w:numPr>
        <w:spacing w:line="256" w:lineRule="auto"/>
        <w:jc w:val="both"/>
        <w:rPr>
          <w:rFonts w:ascii="Segoe UI" w:hAnsi="Segoe UI" w:cs="Segoe UI"/>
          <w:b/>
          <w:bCs/>
        </w:rPr>
      </w:pPr>
      <w:r>
        <w:rPr>
          <w:rFonts w:ascii="Segoe UI" w:hAnsi="Segoe UI" w:cs="Segoe UI"/>
          <w:b/>
          <w:bCs/>
        </w:rPr>
        <w:t>Opracowanie krajowej strategii dekarbonizacji przemysłu (</w:t>
      </w:r>
      <w:r w:rsidR="00B2191F">
        <w:rPr>
          <w:rFonts w:ascii="Segoe UI" w:hAnsi="Segoe UI" w:cs="Segoe UI"/>
          <w:b/>
          <w:bCs/>
        </w:rPr>
        <w:t>z uwzględnieniem</w:t>
      </w:r>
      <w:r>
        <w:rPr>
          <w:rFonts w:ascii="Segoe UI" w:hAnsi="Segoe UI" w:cs="Segoe UI"/>
          <w:b/>
          <w:bCs/>
        </w:rPr>
        <w:t xml:space="preserve"> CCS)</w:t>
      </w:r>
    </w:p>
    <w:p w14:paraId="45724C15" w14:textId="14FFDAB7" w:rsidR="0041532A" w:rsidRDefault="457CBBF9" w:rsidP="0041532A">
      <w:pPr>
        <w:pStyle w:val="Akapitzlist"/>
        <w:numPr>
          <w:ilvl w:val="0"/>
          <w:numId w:val="14"/>
        </w:numPr>
        <w:spacing w:line="256" w:lineRule="auto"/>
        <w:jc w:val="both"/>
        <w:rPr>
          <w:rFonts w:ascii="Segoe UI" w:hAnsi="Segoe UI" w:cs="Segoe UI"/>
          <w:b/>
          <w:bCs/>
        </w:rPr>
      </w:pPr>
      <w:r w:rsidRPr="457CBBF9">
        <w:rPr>
          <w:rFonts w:ascii="Segoe UI" w:hAnsi="Segoe UI" w:cs="Segoe UI"/>
          <w:b/>
          <w:bCs/>
        </w:rPr>
        <w:t>Ustanowienie krajowego operatora podziemnych magazynów dwutlenku węgla</w:t>
      </w:r>
    </w:p>
    <w:p w14:paraId="4CDD96E6" w14:textId="29A3DD53" w:rsidR="0041532A" w:rsidRDefault="457CBBF9" w:rsidP="0041532A">
      <w:pPr>
        <w:pStyle w:val="Akapitzlist"/>
        <w:numPr>
          <w:ilvl w:val="0"/>
          <w:numId w:val="14"/>
        </w:numPr>
        <w:spacing w:line="256" w:lineRule="auto"/>
        <w:jc w:val="both"/>
        <w:rPr>
          <w:rFonts w:ascii="Segoe UI" w:hAnsi="Segoe UI" w:cs="Segoe UI"/>
        </w:rPr>
      </w:pPr>
      <w:r w:rsidRPr="457CBBF9">
        <w:rPr>
          <w:rFonts w:ascii="Segoe UI" w:hAnsi="Segoe UI" w:cs="Segoe UI"/>
          <w:b/>
          <w:bCs/>
        </w:rPr>
        <w:t>Wyznaczenie krajowego operatora infrastruktury wychwyconego dwutlenku  węgla</w:t>
      </w:r>
    </w:p>
    <w:p w14:paraId="6BF2C427" w14:textId="77777777" w:rsidR="0041532A" w:rsidRDefault="0041532A" w:rsidP="0041532A">
      <w:pPr>
        <w:rPr>
          <w:rFonts w:ascii="Segoe UI" w:hAnsi="Segoe UI" w:cs="Segoe UI"/>
        </w:rPr>
      </w:pPr>
    </w:p>
    <w:p w14:paraId="5B5BFAC3" w14:textId="77777777" w:rsidR="0041532A" w:rsidRDefault="0041532A" w:rsidP="0041532A">
      <w:pPr>
        <w:rPr>
          <w:rFonts w:ascii="Segoe UI" w:hAnsi="Segoe UI" w:cs="Segoe UI"/>
          <w:b/>
          <w:bCs/>
        </w:rPr>
      </w:pPr>
      <w:r>
        <w:rPr>
          <w:rFonts w:ascii="Segoe UI" w:hAnsi="Segoe UI" w:cs="Segoe UI"/>
          <w:b/>
          <w:bCs/>
        </w:rPr>
        <w:t>Uwagi końcowe:</w:t>
      </w:r>
    </w:p>
    <w:p w14:paraId="72AFE893" w14:textId="77777777" w:rsidR="0041532A" w:rsidRDefault="0041532A" w:rsidP="00B2191F">
      <w:pPr>
        <w:pStyle w:val="Akapitzlist"/>
        <w:numPr>
          <w:ilvl w:val="0"/>
          <w:numId w:val="15"/>
        </w:numPr>
        <w:spacing w:line="256" w:lineRule="auto"/>
        <w:jc w:val="both"/>
        <w:rPr>
          <w:rFonts w:ascii="Segoe UI" w:hAnsi="Segoe UI" w:cs="Segoe UI"/>
        </w:rPr>
      </w:pPr>
      <w:r>
        <w:rPr>
          <w:rFonts w:ascii="Segoe UI" w:hAnsi="Segoe UI" w:cs="Segoe UI"/>
        </w:rPr>
        <w:t>Trudność w spełnieniu celów wodorowych, nacisk na efektywność wykorzystania wodoru</w:t>
      </w:r>
    </w:p>
    <w:p w14:paraId="617A3228" w14:textId="77777777" w:rsidR="0041532A" w:rsidRDefault="0041532A" w:rsidP="00B2191F">
      <w:pPr>
        <w:pStyle w:val="Akapitzlist"/>
        <w:numPr>
          <w:ilvl w:val="0"/>
          <w:numId w:val="15"/>
        </w:numPr>
        <w:spacing w:line="256" w:lineRule="auto"/>
        <w:jc w:val="both"/>
        <w:rPr>
          <w:rFonts w:ascii="Segoe UI" w:hAnsi="Segoe UI" w:cs="Segoe UI"/>
        </w:rPr>
      </w:pPr>
      <w:r>
        <w:rPr>
          <w:rFonts w:ascii="Segoe UI" w:hAnsi="Segoe UI" w:cs="Segoe UI"/>
        </w:rPr>
        <w:t>Potencjał bezpośredni elektryfikacji powinien być zagospodarowany przed konwersja na wodór</w:t>
      </w:r>
    </w:p>
    <w:p w14:paraId="27E311F5" w14:textId="0D1FC328" w:rsidR="0041532A" w:rsidRDefault="0041532A" w:rsidP="00B2191F">
      <w:pPr>
        <w:pStyle w:val="Akapitzlist"/>
        <w:numPr>
          <w:ilvl w:val="0"/>
          <w:numId w:val="15"/>
        </w:numPr>
        <w:spacing w:line="256" w:lineRule="auto"/>
        <w:jc w:val="both"/>
        <w:rPr>
          <w:rFonts w:ascii="Segoe UI" w:hAnsi="Segoe UI" w:cs="Segoe UI"/>
        </w:rPr>
      </w:pPr>
      <w:r>
        <w:rPr>
          <w:rFonts w:ascii="Segoe UI" w:hAnsi="Segoe UI" w:cs="Segoe UI"/>
        </w:rPr>
        <w:lastRenderedPageBreak/>
        <w:t xml:space="preserve">Skromnie opisane CCS i CCU, ale jest z czego czerpać, </w:t>
      </w:r>
      <w:proofErr w:type="spellStart"/>
      <w:r>
        <w:rPr>
          <w:rFonts w:ascii="Segoe UI" w:hAnsi="Segoe UI" w:cs="Segoe UI"/>
        </w:rPr>
        <w:t>KPE</w:t>
      </w:r>
      <w:r w:rsidR="00B2191F">
        <w:rPr>
          <w:rFonts w:ascii="Segoe UI" w:hAnsi="Segoe UI" w:cs="Segoe UI"/>
        </w:rPr>
        <w:t>i</w:t>
      </w:r>
      <w:r>
        <w:rPr>
          <w:rFonts w:ascii="Segoe UI" w:hAnsi="Segoe UI" w:cs="Segoe UI"/>
        </w:rPr>
        <w:t>K</w:t>
      </w:r>
      <w:proofErr w:type="spellEnd"/>
      <w:r>
        <w:rPr>
          <w:rFonts w:ascii="Segoe UI" w:hAnsi="Segoe UI" w:cs="Segoe UI"/>
        </w:rPr>
        <w:t xml:space="preserve"> jako potencjalny punkt wyjścia dla strategii </w:t>
      </w:r>
      <w:proofErr w:type="spellStart"/>
      <w:r>
        <w:rPr>
          <w:rFonts w:ascii="Segoe UI" w:hAnsi="Segoe UI" w:cs="Segoe UI"/>
        </w:rPr>
        <w:t>carbon</w:t>
      </w:r>
      <w:proofErr w:type="spellEnd"/>
      <w:r>
        <w:rPr>
          <w:rFonts w:ascii="Segoe UI" w:hAnsi="Segoe UI" w:cs="Segoe UI"/>
        </w:rPr>
        <w:t xml:space="preserve"> management</w:t>
      </w:r>
    </w:p>
    <w:p w14:paraId="4D34AD49" w14:textId="77777777" w:rsidR="0041532A" w:rsidRDefault="0041532A" w:rsidP="00B2191F">
      <w:pPr>
        <w:pStyle w:val="Akapitzlist"/>
        <w:numPr>
          <w:ilvl w:val="0"/>
          <w:numId w:val="15"/>
        </w:numPr>
        <w:spacing w:line="256" w:lineRule="auto"/>
        <w:jc w:val="both"/>
        <w:rPr>
          <w:rFonts w:ascii="Segoe UI" w:hAnsi="Segoe UI" w:cs="Segoe UI"/>
        </w:rPr>
      </w:pPr>
      <w:r>
        <w:rPr>
          <w:rFonts w:ascii="Segoe UI" w:hAnsi="Segoe UI" w:cs="Segoe UI"/>
        </w:rPr>
        <w:t>Ciepło odpadowe – nie źródło samo w sobie, bo zależne od pierwotnego wygenerowania energii, ale bardzo duży potencjał</w:t>
      </w:r>
    </w:p>
    <w:p w14:paraId="78E895B8" w14:textId="77777777" w:rsidR="0041532A" w:rsidRDefault="0041532A" w:rsidP="00B2191F">
      <w:pPr>
        <w:pStyle w:val="Akapitzlist"/>
        <w:numPr>
          <w:ilvl w:val="0"/>
          <w:numId w:val="15"/>
        </w:numPr>
        <w:spacing w:line="256" w:lineRule="auto"/>
        <w:jc w:val="both"/>
        <w:rPr>
          <w:rFonts w:ascii="Segoe UI" w:hAnsi="Segoe UI" w:cs="Segoe UI"/>
        </w:rPr>
      </w:pPr>
      <w:r>
        <w:rPr>
          <w:rFonts w:ascii="Segoe UI" w:hAnsi="Segoe UI" w:cs="Segoe UI"/>
        </w:rPr>
        <w:t>Finansowanie – brak dobrego linku między beneficjentami a źródłami finansowania</w:t>
      </w:r>
    </w:p>
    <w:p w14:paraId="0DC4A9A2" w14:textId="77777777" w:rsidR="0041532A" w:rsidRDefault="0041532A" w:rsidP="00B2191F">
      <w:pPr>
        <w:pStyle w:val="Akapitzlist"/>
        <w:numPr>
          <w:ilvl w:val="0"/>
          <w:numId w:val="15"/>
        </w:numPr>
        <w:spacing w:line="256" w:lineRule="auto"/>
        <w:jc w:val="both"/>
        <w:rPr>
          <w:rFonts w:ascii="Segoe UI" w:hAnsi="Segoe UI" w:cs="Segoe UI"/>
        </w:rPr>
      </w:pPr>
      <w:r>
        <w:rPr>
          <w:rFonts w:ascii="Segoe UI" w:hAnsi="Segoe UI" w:cs="Segoe UI"/>
        </w:rPr>
        <w:t>Inna sytuacja i potrzeby małego i dużego przemysłu w tym zakresie</w:t>
      </w:r>
    </w:p>
    <w:p w14:paraId="4CAC7402" w14:textId="6E86CA57" w:rsidR="0041532A" w:rsidRDefault="0041532A" w:rsidP="00B2191F">
      <w:pPr>
        <w:pStyle w:val="Akapitzlist"/>
        <w:numPr>
          <w:ilvl w:val="0"/>
          <w:numId w:val="15"/>
        </w:numPr>
        <w:spacing w:line="256" w:lineRule="auto"/>
        <w:jc w:val="both"/>
        <w:rPr>
          <w:rFonts w:ascii="Segoe UI" w:hAnsi="Segoe UI" w:cs="Segoe UI"/>
        </w:rPr>
      </w:pPr>
      <w:r>
        <w:rPr>
          <w:rFonts w:ascii="Segoe UI" w:hAnsi="Segoe UI" w:cs="Segoe UI"/>
        </w:rPr>
        <w:t xml:space="preserve">ETS2 pokrywający mały przemysł </w:t>
      </w:r>
      <w:r w:rsidR="00B2191F">
        <w:rPr>
          <w:rFonts w:ascii="Segoe UI" w:hAnsi="Segoe UI" w:cs="Segoe UI"/>
        </w:rPr>
        <w:t>jako ważny instrument</w:t>
      </w:r>
      <w:r>
        <w:rPr>
          <w:rFonts w:ascii="Segoe UI" w:hAnsi="Segoe UI" w:cs="Segoe UI"/>
        </w:rPr>
        <w:t xml:space="preserve"> </w:t>
      </w:r>
      <w:r w:rsidR="00B2191F">
        <w:rPr>
          <w:rFonts w:ascii="Segoe UI" w:hAnsi="Segoe UI" w:cs="Segoe UI"/>
        </w:rPr>
        <w:t xml:space="preserve">dla </w:t>
      </w:r>
      <w:r>
        <w:rPr>
          <w:rFonts w:ascii="Segoe UI" w:hAnsi="Segoe UI" w:cs="Segoe UI"/>
        </w:rPr>
        <w:t>dekarbonizacji tego</w:t>
      </w:r>
      <w:r w:rsidR="00B2191F">
        <w:rPr>
          <w:rFonts w:ascii="Segoe UI" w:hAnsi="Segoe UI" w:cs="Segoe UI"/>
        </w:rPr>
        <w:t xml:space="preserve"> sektora.</w:t>
      </w:r>
    </w:p>
    <w:p w14:paraId="63C9C9C7" w14:textId="77777777" w:rsidR="0041532A" w:rsidRPr="00261B73" w:rsidRDefault="0041532A" w:rsidP="00E37745">
      <w:pPr>
        <w:jc w:val="both"/>
      </w:pPr>
    </w:p>
    <w:sectPr w:rsidR="0041532A" w:rsidRPr="00261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Nova">
    <w:charset w:val="00"/>
    <w:family w:val="swiss"/>
    <w:pitch w:val="variable"/>
    <w:sig w:usb0="80000287" w:usb1="00000002" w:usb2="00000000" w:usb3="00000000" w:csb0="000000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74D"/>
    <w:multiLevelType w:val="multilevel"/>
    <w:tmpl w:val="ED8A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621E0"/>
    <w:multiLevelType w:val="hybridMultilevel"/>
    <w:tmpl w:val="6F244F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5F3285"/>
    <w:multiLevelType w:val="multilevel"/>
    <w:tmpl w:val="9B708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8655E"/>
    <w:multiLevelType w:val="hybridMultilevel"/>
    <w:tmpl w:val="49966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C468BF"/>
    <w:multiLevelType w:val="hybridMultilevel"/>
    <w:tmpl w:val="88F80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FE4385"/>
    <w:multiLevelType w:val="hybridMultilevel"/>
    <w:tmpl w:val="0B6C7664"/>
    <w:lvl w:ilvl="0" w:tplc="3F920F68">
      <w:start w:val="1"/>
      <w:numFmt w:val="bullet"/>
      <w:lvlText w:val="·"/>
      <w:lvlJc w:val="left"/>
      <w:pPr>
        <w:ind w:left="720" w:hanging="360"/>
      </w:pPr>
      <w:rPr>
        <w:rFonts w:ascii="Symbol" w:hAnsi="Symbol" w:hint="default"/>
      </w:rPr>
    </w:lvl>
    <w:lvl w:ilvl="1" w:tplc="6D328008">
      <w:start w:val="1"/>
      <w:numFmt w:val="bullet"/>
      <w:lvlText w:val="o"/>
      <w:lvlJc w:val="left"/>
      <w:pPr>
        <w:ind w:left="1440" w:hanging="360"/>
      </w:pPr>
      <w:rPr>
        <w:rFonts w:ascii="Courier New" w:hAnsi="Courier New" w:hint="default"/>
      </w:rPr>
    </w:lvl>
    <w:lvl w:ilvl="2" w:tplc="1A8854C8">
      <w:start w:val="1"/>
      <w:numFmt w:val="bullet"/>
      <w:lvlText w:val=""/>
      <w:lvlJc w:val="left"/>
      <w:pPr>
        <w:ind w:left="2160" w:hanging="360"/>
      </w:pPr>
      <w:rPr>
        <w:rFonts w:ascii="Wingdings" w:hAnsi="Wingdings" w:hint="default"/>
      </w:rPr>
    </w:lvl>
    <w:lvl w:ilvl="3" w:tplc="D60E883A">
      <w:start w:val="1"/>
      <w:numFmt w:val="bullet"/>
      <w:lvlText w:val=""/>
      <w:lvlJc w:val="left"/>
      <w:pPr>
        <w:ind w:left="2880" w:hanging="360"/>
      </w:pPr>
      <w:rPr>
        <w:rFonts w:ascii="Symbol" w:hAnsi="Symbol" w:hint="default"/>
      </w:rPr>
    </w:lvl>
    <w:lvl w:ilvl="4" w:tplc="A92A50E0">
      <w:start w:val="1"/>
      <w:numFmt w:val="bullet"/>
      <w:lvlText w:val="o"/>
      <w:lvlJc w:val="left"/>
      <w:pPr>
        <w:ind w:left="3600" w:hanging="360"/>
      </w:pPr>
      <w:rPr>
        <w:rFonts w:ascii="Courier New" w:hAnsi="Courier New" w:hint="default"/>
      </w:rPr>
    </w:lvl>
    <w:lvl w:ilvl="5" w:tplc="FC0A9D6C">
      <w:start w:val="1"/>
      <w:numFmt w:val="bullet"/>
      <w:lvlText w:val=""/>
      <w:lvlJc w:val="left"/>
      <w:pPr>
        <w:ind w:left="4320" w:hanging="360"/>
      </w:pPr>
      <w:rPr>
        <w:rFonts w:ascii="Wingdings" w:hAnsi="Wingdings" w:hint="default"/>
      </w:rPr>
    </w:lvl>
    <w:lvl w:ilvl="6" w:tplc="9F983AF6">
      <w:start w:val="1"/>
      <w:numFmt w:val="bullet"/>
      <w:lvlText w:val=""/>
      <w:lvlJc w:val="left"/>
      <w:pPr>
        <w:ind w:left="5040" w:hanging="360"/>
      </w:pPr>
      <w:rPr>
        <w:rFonts w:ascii="Symbol" w:hAnsi="Symbol" w:hint="default"/>
      </w:rPr>
    </w:lvl>
    <w:lvl w:ilvl="7" w:tplc="6E9CF98C">
      <w:start w:val="1"/>
      <w:numFmt w:val="bullet"/>
      <w:lvlText w:val="o"/>
      <w:lvlJc w:val="left"/>
      <w:pPr>
        <w:ind w:left="5760" w:hanging="360"/>
      </w:pPr>
      <w:rPr>
        <w:rFonts w:ascii="Courier New" w:hAnsi="Courier New" w:hint="default"/>
      </w:rPr>
    </w:lvl>
    <w:lvl w:ilvl="8" w:tplc="245E8F28">
      <w:start w:val="1"/>
      <w:numFmt w:val="bullet"/>
      <w:lvlText w:val=""/>
      <w:lvlJc w:val="left"/>
      <w:pPr>
        <w:ind w:left="6480" w:hanging="360"/>
      </w:pPr>
      <w:rPr>
        <w:rFonts w:ascii="Wingdings" w:hAnsi="Wingdings" w:hint="default"/>
      </w:rPr>
    </w:lvl>
  </w:abstractNum>
  <w:abstractNum w:abstractNumId="6" w15:restartNumberingAfterBreak="0">
    <w:nsid w:val="14E84086"/>
    <w:multiLevelType w:val="multilevel"/>
    <w:tmpl w:val="4582E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C2415"/>
    <w:multiLevelType w:val="hybridMultilevel"/>
    <w:tmpl w:val="2A9A9B3E"/>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156132E"/>
    <w:multiLevelType w:val="hybridMultilevel"/>
    <w:tmpl w:val="0D0A9C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1A27452"/>
    <w:multiLevelType w:val="multilevel"/>
    <w:tmpl w:val="8062B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A35D1"/>
    <w:multiLevelType w:val="hybridMultilevel"/>
    <w:tmpl w:val="8F24E1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6D15C76"/>
    <w:multiLevelType w:val="hybridMultilevel"/>
    <w:tmpl w:val="C6CABC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2D551CA"/>
    <w:multiLevelType w:val="multilevel"/>
    <w:tmpl w:val="058C4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C63C0"/>
    <w:multiLevelType w:val="hybridMultilevel"/>
    <w:tmpl w:val="08724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EE69F9"/>
    <w:multiLevelType w:val="multilevel"/>
    <w:tmpl w:val="9A6C8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7B614B"/>
    <w:multiLevelType w:val="multilevel"/>
    <w:tmpl w:val="88F25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D32AA2"/>
    <w:multiLevelType w:val="hybridMultilevel"/>
    <w:tmpl w:val="73561E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413D7DE8"/>
    <w:multiLevelType w:val="multilevel"/>
    <w:tmpl w:val="0936B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AD6AC2"/>
    <w:multiLevelType w:val="multilevel"/>
    <w:tmpl w:val="BA107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DD45F7"/>
    <w:multiLevelType w:val="hybridMultilevel"/>
    <w:tmpl w:val="BB403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BC7254"/>
    <w:multiLevelType w:val="hybridMultilevel"/>
    <w:tmpl w:val="A6326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166831"/>
    <w:multiLevelType w:val="multilevel"/>
    <w:tmpl w:val="D9042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221B85"/>
    <w:multiLevelType w:val="multilevel"/>
    <w:tmpl w:val="D28A8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52FCB"/>
    <w:multiLevelType w:val="multilevel"/>
    <w:tmpl w:val="957C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022D0A"/>
    <w:multiLevelType w:val="hybridMultilevel"/>
    <w:tmpl w:val="A9E2BABE"/>
    <w:lvl w:ilvl="0" w:tplc="991C5DD8">
      <w:start w:val="1"/>
      <w:numFmt w:val="bullet"/>
      <w:lvlText w:val="·"/>
      <w:lvlJc w:val="left"/>
      <w:pPr>
        <w:ind w:left="720" w:hanging="360"/>
      </w:pPr>
      <w:rPr>
        <w:rFonts w:ascii="Symbol" w:hAnsi="Symbol" w:hint="default"/>
      </w:rPr>
    </w:lvl>
    <w:lvl w:ilvl="1" w:tplc="A316F43A">
      <w:start w:val="1"/>
      <w:numFmt w:val="bullet"/>
      <w:lvlText w:val="o"/>
      <w:lvlJc w:val="left"/>
      <w:pPr>
        <w:ind w:left="1440" w:hanging="360"/>
      </w:pPr>
      <w:rPr>
        <w:rFonts w:ascii="Courier New" w:hAnsi="Courier New" w:hint="default"/>
      </w:rPr>
    </w:lvl>
    <w:lvl w:ilvl="2" w:tplc="11847A3C">
      <w:start w:val="1"/>
      <w:numFmt w:val="bullet"/>
      <w:lvlText w:val=""/>
      <w:lvlJc w:val="left"/>
      <w:pPr>
        <w:ind w:left="2160" w:hanging="360"/>
      </w:pPr>
      <w:rPr>
        <w:rFonts w:ascii="Wingdings" w:hAnsi="Wingdings" w:hint="default"/>
      </w:rPr>
    </w:lvl>
    <w:lvl w:ilvl="3" w:tplc="BECC3756">
      <w:start w:val="1"/>
      <w:numFmt w:val="bullet"/>
      <w:lvlText w:val=""/>
      <w:lvlJc w:val="left"/>
      <w:pPr>
        <w:ind w:left="2880" w:hanging="360"/>
      </w:pPr>
      <w:rPr>
        <w:rFonts w:ascii="Symbol" w:hAnsi="Symbol" w:hint="default"/>
      </w:rPr>
    </w:lvl>
    <w:lvl w:ilvl="4" w:tplc="36CC93D6">
      <w:start w:val="1"/>
      <w:numFmt w:val="bullet"/>
      <w:lvlText w:val="o"/>
      <w:lvlJc w:val="left"/>
      <w:pPr>
        <w:ind w:left="3600" w:hanging="360"/>
      </w:pPr>
      <w:rPr>
        <w:rFonts w:ascii="Courier New" w:hAnsi="Courier New" w:hint="default"/>
      </w:rPr>
    </w:lvl>
    <w:lvl w:ilvl="5" w:tplc="1444F8F2">
      <w:start w:val="1"/>
      <w:numFmt w:val="bullet"/>
      <w:lvlText w:val=""/>
      <w:lvlJc w:val="left"/>
      <w:pPr>
        <w:ind w:left="4320" w:hanging="360"/>
      </w:pPr>
      <w:rPr>
        <w:rFonts w:ascii="Wingdings" w:hAnsi="Wingdings" w:hint="default"/>
      </w:rPr>
    </w:lvl>
    <w:lvl w:ilvl="6" w:tplc="E7124A1C">
      <w:start w:val="1"/>
      <w:numFmt w:val="bullet"/>
      <w:lvlText w:val=""/>
      <w:lvlJc w:val="left"/>
      <w:pPr>
        <w:ind w:left="5040" w:hanging="360"/>
      </w:pPr>
      <w:rPr>
        <w:rFonts w:ascii="Symbol" w:hAnsi="Symbol" w:hint="default"/>
      </w:rPr>
    </w:lvl>
    <w:lvl w:ilvl="7" w:tplc="90383ABE">
      <w:start w:val="1"/>
      <w:numFmt w:val="bullet"/>
      <w:lvlText w:val="o"/>
      <w:lvlJc w:val="left"/>
      <w:pPr>
        <w:ind w:left="5760" w:hanging="360"/>
      </w:pPr>
      <w:rPr>
        <w:rFonts w:ascii="Courier New" w:hAnsi="Courier New" w:hint="default"/>
      </w:rPr>
    </w:lvl>
    <w:lvl w:ilvl="8" w:tplc="E536D6A4">
      <w:start w:val="1"/>
      <w:numFmt w:val="bullet"/>
      <w:lvlText w:val=""/>
      <w:lvlJc w:val="left"/>
      <w:pPr>
        <w:ind w:left="6480" w:hanging="360"/>
      </w:pPr>
      <w:rPr>
        <w:rFonts w:ascii="Wingdings" w:hAnsi="Wingdings" w:hint="default"/>
      </w:rPr>
    </w:lvl>
  </w:abstractNum>
  <w:abstractNum w:abstractNumId="25" w15:restartNumberingAfterBreak="0">
    <w:nsid w:val="5904290E"/>
    <w:multiLevelType w:val="multilevel"/>
    <w:tmpl w:val="5D94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A52E0D"/>
    <w:multiLevelType w:val="hybridMultilevel"/>
    <w:tmpl w:val="2CBED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5A5FEC"/>
    <w:multiLevelType w:val="multilevel"/>
    <w:tmpl w:val="41CA58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321866"/>
    <w:multiLevelType w:val="multilevel"/>
    <w:tmpl w:val="64569D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D63FC0"/>
    <w:multiLevelType w:val="hybridMultilevel"/>
    <w:tmpl w:val="F5C893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96B6DCC"/>
    <w:multiLevelType w:val="multilevel"/>
    <w:tmpl w:val="E054A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382187"/>
    <w:multiLevelType w:val="multilevel"/>
    <w:tmpl w:val="C09EE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7453C3"/>
    <w:multiLevelType w:val="hybridMultilevel"/>
    <w:tmpl w:val="02328D32"/>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6E6D1FCD"/>
    <w:multiLevelType w:val="multilevel"/>
    <w:tmpl w:val="8CAE9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085DF7"/>
    <w:multiLevelType w:val="multilevel"/>
    <w:tmpl w:val="212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B0378"/>
    <w:multiLevelType w:val="multilevel"/>
    <w:tmpl w:val="7E2C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415853"/>
    <w:multiLevelType w:val="hybridMultilevel"/>
    <w:tmpl w:val="5FA0FB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A5F6695"/>
    <w:multiLevelType w:val="hybridMultilevel"/>
    <w:tmpl w:val="F942DEBA"/>
    <w:lvl w:ilvl="0" w:tplc="4AF867FC">
      <w:start w:val="1"/>
      <w:numFmt w:val="bullet"/>
      <w:lvlText w:val="·"/>
      <w:lvlJc w:val="left"/>
      <w:pPr>
        <w:ind w:left="720" w:hanging="360"/>
      </w:pPr>
      <w:rPr>
        <w:rFonts w:ascii="Symbol" w:hAnsi="Symbol" w:hint="default"/>
      </w:rPr>
    </w:lvl>
    <w:lvl w:ilvl="1" w:tplc="B5BA2EDC">
      <w:start w:val="1"/>
      <w:numFmt w:val="bullet"/>
      <w:lvlText w:val="o"/>
      <w:lvlJc w:val="left"/>
      <w:pPr>
        <w:ind w:left="1440" w:hanging="360"/>
      </w:pPr>
      <w:rPr>
        <w:rFonts w:ascii="Courier New" w:hAnsi="Courier New" w:hint="default"/>
      </w:rPr>
    </w:lvl>
    <w:lvl w:ilvl="2" w:tplc="271E1EC8">
      <w:start w:val="1"/>
      <w:numFmt w:val="bullet"/>
      <w:lvlText w:val=""/>
      <w:lvlJc w:val="left"/>
      <w:pPr>
        <w:ind w:left="2160" w:hanging="360"/>
      </w:pPr>
      <w:rPr>
        <w:rFonts w:ascii="Wingdings" w:hAnsi="Wingdings" w:hint="default"/>
      </w:rPr>
    </w:lvl>
    <w:lvl w:ilvl="3" w:tplc="4C9686C8">
      <w:start w:val="1"/>
      <w:numFmt w:val="bullet"/>
      <w:lvlText w:val=""/>
      <w:lvlJc w:val="left"/>
      <w:pPr>
        <w:ind w:left="2880" w:hanging="360"/>
      </w:pPr>
      <w:rPr>
        <w:rFonts w:ascii="Symbol" w:hAnsi="Symbol" w:hint="default"/>
      </w:rPr>
    </w:lvl>
    <w:lvl w:ilvl="4" w:tplc="4D3ECF7C">
      <w:start w:val="1"/>
      <w:numFmt w:val="bullet"/>
      <w:lvlText w:val="o"/>
      <w:lvlJc w:val="left"/>
      <w:pPr>
        <w:ind w:left="3600" w:hanging="360"/>
      </w:pPr>
      <w:rPr>
        <w:rFonts w:ascii="Courier New" w:hAnsi="Courier New" w:hint="default"/>
      </w:rPr>
    </w:lvl>
    <w:lvl w:ilvl="5" w:tplc="7EB444B0">
      <w:start w:val="1"/>
      <w:numFmt w:val="bullet"/>
      <w:lvlText w:val=""/>
      <w:lvlJc w:val="left"/>
      <w:pPr>
        <w:ind w:left="4320" w:hanging="360"/>
      </w:pPr>
      <w:rPr>
        <w:rFonts w:ascii="Wingdings" w:hAnsi="Wingdings" w:hint="default"/>
      </w:rPr>
    </w:lvl>
    <w:lvl w:ilvl="6" w:tplc="A65A43AA">
      <w:start w:val="1"/>
      <w:numFmt w:val="bullet"/>
      <w:lvlText w:val=""/>
      <w:lvlJc w:val="left"/>
      <w:pPr>
        <w:ind w:left="5040" w:hanging="360"/>
      </w:pPr>
      <w:rPr>
        <w:rFonts w:ascii="Symbol" w:hAnsi="Symbol" w:hint="default"/>
      </w:rPr>
    </w:lvl>
    <w:lvl w:ilvl="7" w:tplc="5D02690E">
      <w:start w:val="1"/>
      <w:numFmt w:val="bullet"/>
      <w:lvlText w:val="o"/>
      <w:lvlJc w:val="left"/>
      <w:pPr>
        <w:ind w:left="5760" w:hanging="360"/>
      </w:pPr>
      <w:rPr>
        <w:rFonts w:ascii="Courier New" w:hAnsi="Courier New" w:hint="default"/>
      </w:rPr>
    </w:lvl>
    <w:lvl w:ilvl="8" w:tplc="9CD88D44">
      <w:start w:val="1"/>
      <w:numFmt w:val="bullet"/>
      <w:lvlText w:val=""/>
      <w:lvlJc w:val="left"/>
      <w:pPr>
        <w:ind w:left="6480" w:hanging="360"/>
      </w:pPr>
      <w:rPr>
        <w:rFonts w:ascii="Wingdings" w:hAnsi="Wingdings" w:hint="default"/>
      </w:rPr>
    </w:lvl>
  </w:abstractNum>
  <w:abstractNum w:abstractNumId="38" w15:restartNumberingAfterBreak="0">
    <w:nsid w:val="7A9D1F2D"/>
    <w:multiLevelType w:val="hybridMultilevel"/>
    <w:tmpl w:val="4AC26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E20D2E"/>
    <w:multiLevelType w:val="hybridMultilevel"/>
    <w:tmpl w:val="80407F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739445009">
    <w:abstractNumId w:val="5"/>
  </w:num>
  <w:num w:numId="2" w16cid:durableId="241524876">
    <w:abstractNumId w:val="24"/>
  </w:num>
  <w:num w:numId="3" w16cid:durableId="1198738360">
    <w:abstractNumId w:val="37"/>
  </w:num>
  <w:num w:numId="4" w16cid:durableId="1048264497">
    <w:abstractNumId w:val="3"/>
  </w:num>
  <w:num w:numId="5" w16cid:durableId="1908150319">
    <w:abstractNumId w:val="8"/>
  </w:num>
  <w:num w:numId="6" w16cid:durableId="995914233">
    <w:abstractNumId w:val="13"/>
  </w:num>
  <w:num w:numId="7" w16cid:durableId="1789811124">
    <w:abstractNumId w:val="26"/>
  </w:num>
  <w:num w:numId="8" w16cid:durableId="328795675">
    <w:abstractNumId w:val="32"/>
  </w:num>
  <w:num w:numId="9" w16cid:durableId="88746108">
    <w:abstractNumId w:val="36"/>
  </w:num>
  <w:num w:numId="10" w16cid:durableId="497767004">
    <w:abstractNumId w:val="7"/>
    <w:lvlOverride w:ilvl="0">
      <w:startOverride w:val="1"/>
    </w:lvlOverride>
    <w:lvlOverride w:ilvl="1"/>
    <w:lvlOverride w:ilvl="2"/>
    <w:lvlOverride w:ilvl="3"/>
    <w:lvlOverride w:ilvl="4"/>
    <w:lvlOverride w:ilvl="5"/>
    <w:lvlOverride w:ilvl="6"/>
    <w:lvlOverride w:ilvl="7"/>
    <w:lvlOverride w:ilvl="8"/>
  </w:num>
  <w:num w:numId="11" w16cid:durableId="1506360124">
    <w:abstractNumId w:val="29"/>
  </w:num>
  <w:num w:numId="12" w16cid:durableId="272051830">
    <w:abstractNumId w:val="10"/>
  </w:num>
  <w:num w:numId="13" w16cid:durableId="491260658">
    <w:abstractNumId w:val="39"/>
  </w:num>
  <w:num w:numId="14" w16cid:durableId="2119369182">
    <w:abstractNumId w:val="1"/>
  </w:num>
  <w:num w:numId="15" w16cid:durableId="1403331159">
    <w:abstractNumId w:val="11"/>
  </w:num>
  <w:num w:numId="16" w16cid:durableId="1831670870">
    <w:abstractNumId w:val="1"/>
  </w:num>
  <w:num w:numId="17" w16cid:durableId="1744331712">
    <w:abstractNumId w:val="7"/>
  </w:num>
  <w:num w:numId="18" w16cid:durableId="578489037">
    <w:abstractNumId w:val="34"/>
  </w:num>
  <w:num w:numId="19" w16cid:durableId="637884060">
    <w:abstractNumId w:val="6"/>
  </w:num>
  <w:num w:numId="20" w16cid:durableId="975331113">
    <w:abstractNumId w:val="14"/>
  </w:num>
  <w:num w:numId="21" w16cid:durableId="1608853048">
    <w:abstractNumId w:val="27"/>
  </w:num>
  <w:num w:numId="22" w16cid:durableId="849876796">
    <w:abstractNumId w:val="28"/>
  </w:num>
  <w:num w:numId="23" w16cid:durableId="1962220599">
    <w:abstractNumId w:val="12"/>
  </w:num>
  <w:num w:numId="24" w16cid:durableId="1850022529">
    <w:abstractNumId w:val="23"/>
  </w:num>
  <w:num w:numId="25" w16cid:durableId="131943649">
    <w:abstractNumId w:val="35"/>
  </w:num>
  <w:num w:numId="26" w16cid:durableId="1291781483">
    <w:abstractNumId w:val="2"/>
  </w:num>
  <w:num w:numId="27" w16cid:durableId="1365864700">
    <w:abstractNumId w:val="15"/>
  </w:num>
  <w:num w:numId="28" w16cid:durableId="2074347993">
    <w:abstractNumId w:val="22"/>
  </w:num>
  <w:num w:numId="29" w16cid:durableId="1201430404">
    <w:abstractNumId w:val="21"/>
  </w:num>
  <w:num w:numId="30" w16cid:durableId="1207595875">
    <w:abstractNumId w:val="0"/>
  </w:num>
  <w:num w:numId="31" w16cid:durableId="1956012235">
    <w:abstractNumId w:val="17"/>
  </w:num>
  <w:num w:numId="32" w16cid:durableId="912856146">
    <w:abstractNumId w:val="31"/>
  </w:num>
  <w:num w:numId="33" w16cid:durableId="1267692809">
    <w:abstractNumId w:val="18"/>
  </w:num>
  <w:num w:numId="34" w16cid:durableId="1401824181">
    <w:abstractNumId w:val="33"/>
  </w:num>
  <w:num w:numId="35" w16cid:durableId="1858543475">
    <w:abstractNumId w:val="25"/>
  </w:num>
  <w:num w:numId="36" w16cid:durableId="130827586">
    <w:abstractNumId w:val="9"/>
  </w:num>
  <w:num w:numId="37" w16cid:durableId="1871526844">
    <w:abstractNumId w:val="30"/>
  </w:num>
  <w:num w:numId="38" w16cid:durableId="1545828698">
    <w:abstractNumId w:val="16"/>
  </w:num>
  <w:num w:numId="39" w16cid:durableId="1855606">
    <w:abstractNumId w:val="4"/>
  </w:num>
  <w:num w:numId="40" w16cid:durableId="1721126055">
    <w:abstractNumId w:val="38"/>
  </w:num>
  <w:num w:numId="41" w16cid:durableId="1666542944">
    <w:abstractNumId w:val="19"/>
  </w:num>
  <w:num w:numId="42" w16cid:durableId="12932431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EB"/>
    <w:rsid w:val="0002383B"/>
    <w:rsid w:val="000528D1"/>
    <w:rsid w:val="0008066E"/>
    <w:rsid w:val="00092C62"/>
    <w:rsid w:val="000E1B61"/>
    <w:rsid w:val="00104443"/>
    <w:rsid w:val="00204304"/>
    <w:rsid w:val="0020653B"/>
    <w:rsid w:val="00231AF6"/>
    <w:rsid w:val="002536CB"/>
    <w:rsid w:val="00253DB7"/>
    <w:rsid w:val="00261B73"/>
    <w:rsid w:val="002D331B"/>
    <w:rsid w:val="002F5761"/>
    <w:rsid w:val="00303AB1"/>
    <w:rsid w:val="003A4F2D"/>
    <w:rsid w:val="003C0855"/>
    <w:rsid w:val="004009E5"/>
    <w:rsid w:val="0041532A"/>
    <w:rsid w:val="00450559"/>
    <w:rsid w:val="004552D2"/>
    <w:rsid w:val="00484778"/>
    <w:rsid w:val="00493D5A"/>
    <w:rsid w:val="004A0929"/>
    <w:rsid w:val="004C1D5F"/>
    <w:rsid w:val="004D6C81"/>
    <w:rsid w:val="004F261F"/>
    <w:rsid w:val="004F36F5"/>
    <w:rsid w:val="004F5E22"/>
    <w:rsid w:val="00581EE2"/>
    <w:rsid w:val="00587E46"/>
    <w:rsid w:val="005B0C56"/>
    <w:rsid w:val="005B7C81"/>
    <w:rsid w:val="005E212F"/>
    <w:rsid w:val="005F5029"/>
    <w:rsid w:val="0062318B"/>
    <w:rsid w:val="006319BE"/>
    <w:rsid w:val="00673BEC"/>
    <w:rsid w:val="00677F2F"/>
    <w:rsid w:val="007220EC"/>
    <w:rsid w:val="007577CA"/>
    <w:rsid w:val="007B082D"/>
    <w:rsid w:val="007C630F"/>
    <w:rsid w:val="007F4ADA"/>
    <w:rsid w:val="0080319C"/>
    <w:rsid w:val="00810C0A"/>
    <w:rsid w:val="008C247C"/>
    <w:rsid w:val="008D4339"/>
    <w:rsid w:val="0090016B"/>
    <w:rsid w:val="009171E1"/>
    <w:rsid w:val="00970B98"/>
    <w:rsid w:val="00993F6F"/>
    <w:rsid w:val="009A09A3"/>
    <w:rsid w:val="009F05F0"/>
    <w:rsid w:val="00A1245F"/>
    <w:rsid w:val="00AB69B2"/>
    <w:rsid w:val="00AC7E28"/>
    <w:rsid w:val="00B03461"/>
    <w:rsid w:val="00B2191F"/>
    <w:rsid w:val="00B23FEB"/>
    <w:rsid w:val="00B24C78"/>
    <w:rsid w:val="00B25FC2"/>
    <w:rsid w:val="00B31F35"/>
    <w:rsid w:val="00B80C0C"/>
    <w:rsid w:val="00BC7AC0"/>
    <w:rsid w:val="00BE2945"/>
    <w:rsid w:val="00C02BEB"/>
    <w:rsid w:val="00C047A0"/>
    <w:rsid w:val="00C63060"/>
    <w:rsid w:val="00C725AA"/>
    <w:rsid w:val="00C87E62"/>
    <w:rsid w:val="00CC1F6C"/>
    <w:rsid w:val="00CD261E"/>
    <w:rsid w:val="00D00F10"/>
    <w:rsid w:val="00D0224C"/>
    <w:rsid w:val="00D73868"/>
    <w:rsid w:val="00D73A13"/>
    <w:rsid w:val="00D819A9"/>
    <w:rsid w:val="00DB723D"/>
    <w:rsid w:val="00DE0D83"/>
    <w:rsid w:val="00DF6650"/>
    <w:rsid w:val="00E37745"/>
    <w:rsid w:val="00E37895"/>
    <w:rsid w:val="00E86A9D"/>
    <w:rsid w:val="00E931B8"/>
    <w:rsid w:val="00EA7E9A"/>
    <w:rsid w:val="00EB3AE3"/>
    <w:rsid w:val="00F0723F"/>
    <w:rsid w:val="00F36C86"/>
    <w:rsid w:val="00F730C8"/>
    <w:rsid w:val="00F90864"/>
    <w:rsid w:val="00FE0DFD"/>
    <w:rsid w:val="00FE201B"/>
    <w:rsid w:val="028CB572"/>
    <w:rsid w:val="03325E06"/>
    <w:rsid w:val="03DEE70C"/>
    <w:rsid w:val="06BD331E"/>
    <w:rsid w:val="07038E0B"/>
    <w:rsid w:val="08FF4EBA"/>
    <w:rsid w:val="0A5E391A"/>
    <w:rsid w:val="0A850BD6"/>
    <w:rsid w:val="0CC42653"/>
    <w:rsid w:val="0E64FDB6"/>
    <w:rsid w:val="0EB82BF7"/>
    <w:rsid w:val="1076CB22"/>
    <w:rsid w:val="11BF6EA3"/>
    <w:rsid w:val="128A9C34"/>
    <w:rsid w:val="13A18FE5"/>
    <w:rsid w:val="13AA8729"/>
    <w:rsid w:val="147A8B7C"/>
    <w:rsid w:val="156D1C24"/>
    <w:rsid w:val="15DB2C3B"/>
    <w:rsid w:val="1648D89E"/>
    <w:rsid w:val="17A756DD"/>
    <w:rsid w:val="19D7A4A9"/>
    <w:rsid w:val="1B4D3523"/>
    <w:rsid w:val="2154DD52"/>
    <w:rsid w:val="2228D3B9"/>
    <w:rsid w:val="22E04579"/>
    <w:rsid w:val="2560747B"/>
    <w:rsid w:val="2A2B3D9D"/>
    <w:rsid w:val="2A604DE8"/>
    <w:rsid w:val="2B4D002B"/>
    <w:rsid w:val="2C07771C"/>
    <w:rsid w:val="2DA4B048"/>
    <w:rsid w:val="2E7871B0"/>
    <w:rsid w:val="2EE0B988"/>
    <w:rsid w:val="2F16E1BC"/>
    <w:rsid w:val="3082A9B2"/>
    <w:rsid w:val="32C530E3"/>
    <w:rsid w:val="34EF905F"/>
    <w:rsid w:val="37C57FD7"/>
    <w:rsid w:val="3C9B9AB2"/>
    <w:rsid w:val="3DBC300D"/>
    <w:rsid w:val="3DF7FF51"/>
    <w:rsid w:val="3F3A47EF"/>
    <w:rsid w:val="3F5900AD"/>
    <w:rsid w:val="4085946F"/>
    <w:rsid w:val="408A495F"/>
    <w:rsid w:val="414DA76F"/>
    <w:rsid w:val="41F96AB2"/>
    <w:rsid w:val="43F8D934"/>
    <w:rsid w:val="43FCDDFF"/>
    <w:rsid w:val="441A725F"/>
    <w:rsid w:val="447CBA4F"/>
    <w:rsid w:val="449F7EBA"/>
    <w:rsid w:val="44A67648"/>
    <w:rsid w:val="457CBBF9"/>
    <w:rsid w:val="45866582"/>
    <w:rsid w:val="4592AD6C"/>
    <w:rsid w:val="45BF9711"/>
    <w:rsid w:val="4891F480"/>
    <w:rsid w:val="4925CC1F"/>
    <w:rsid w:val="497E4F8D"/>
    <w:rsid w:val="4A52661C"/>
    <w:rsid w:val="4B2A5DC7"/>
    <w:rsid w:val="4BF44F66"/>
    <w:rsid w:val="4D6615AD"/>
    <w:rsid w:val="5213C581"/>
    <w:rsid w:val="538CDDD7"/>
    <w:rsid w:val="565D4B8E"/>
    <w:rsid w:val="5939BD61"/>
    <w:rsid w:val="5A94306B"/>
    <w:rsid w:val="5DEBA8DC"/>
    <w:rsid w:val="5E3EB7E8"/>
    <w:rsid w:val="6152F5A0"/>
    <w:rsid w:val="66826362"/>
    <w:rsid w:val="66B9FCFE"/>
    <w:rsid w:val="68FCDE59"/>
    <w:rsid w:val="6CC68030"/>
    <w:rsid w:val="6DE567D9"/>
    <w:rsid w:val="6E627A84"/>
    <w:rsid w:val="71CD038F"/>
    <w:rsid w:val="7488A022"/>
    <w:rsid w:val="74B1E8F8"/>
    <w:rsid w:val="76B85348"/>
    <w:rsid w:val="770D0088"/>
    <w:rsid w:val="77418066"/>
    <w:rsid w:val="7A9D037D"/>
    <w:rsid w:val="7D28D4B5"/>
    <w:rsid w:val="7E721DF5"/>
    <w:rsid w:val="7F5923AB"/>
    <w:rsid w:val="7F8F73B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09DDB"/>
  <w15:chartTrackingRefBased/>
  <w15:docId w15:val="{3F9A9049-2D93-4635-9745-FA9E72D3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4443"/>
  </w:style>
  <w:style w:type="paragraph" w:styleId="Nagwek1">
    <w:name w:val="heading 1"/>
    <w:basedOn w:val="Normalny"/>
    <w:next w:val="Normalny"/>
    <w:link w:val="Nagwek1Znak"/>
    <w:uiPriority w:val="9"/>
    <w:qFormat/>
    <w:rsid w:val="00C02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02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02BE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02BE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02BE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02BE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02BE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02BE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02BE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2BE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02BE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02BE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02BE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02BE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02B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02BE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02B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02BEB"/>
    <w:rPr>
      <w:rFonts w:eastAsiaTheme="majorEastAsia" w:cstheme="majorBidi"/>
      <w:color w:val="272727" w:themeColor="text1" w:themeTint="D8"/>
    </w:rPr>
  </w:style>
  <w:style w:type="paragraph" w:styleId="Tytu">
    <w:name w:val="Title"/>
    <w:basedOn w:val="Normalny"/>
    <w:next w:val="Normalny"/>
    <w:link w:val="TytuZnak"/>
    <w:uiPriority w:val="10"/>
    <w:qFormat/>
    <w:rsid w:val="00C02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02B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02BE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02BE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02BEB"/>
    <w:pPr>
      <w:spacing w:before="160"/>
      <w:jc w:val="center"/>
    </w:pPr>
    <w:rPr>
      <w:i/>
      <w:iCs/>
      <w:color w:val="404040" w:themeColor="text1" w:themeTint="BF"/>
    </w:rPr>
  </w:style>
  <w:style w:type="character" w:customStyle="1" w:styleId="CytatZnak">
    <w:name w:val="Cytat Znak"/>
    <w:basedOn w:val="Domylnaczcionkaakapitu"/>
    <w:link w:val="Cytat"/>
    <w:uiPriority w:val="29"/>
    <w:rsid w:val="00C02BEB"/>
    <w:rPr>
      <w:i/>
      <w:iCs/>
      <w:color w:val="404040" w:themeColor="text1" w:themeTint="BF"/>
    </w:rPr>
  </w:style>
  <w:style w:type="paragraph" w:styleId="Akapitzlist">
    <w:name w:val="List Paragraph"/>
    <w:basedOn w:val="Normalny"/>
    <w:uiPriority w:val="34"/>
    <w:qFormat/>
    <w:rsid w:val="00C02BEB"/>
    <w:pPr>
      <w:ind w:left="720"/>
      <w:contextualSpacing/>
    </w:pPr>
  </w:style>
  <w:style w:type="character" w:styleId="Wyrnienieintensywne">
    <w:name w:val="Intense Emphasis"/>
    <w:basedOn w:val="Domylnaczcionkaakapitu"/>
    <w:uiPriority w:val="21"/>
    <w:qFormat/>
    <w:rsid w:val="00C02BEB"/>
    <w:rPr>
      <w:i/>
      <w:iCs/>
      <w:color w:val="0F4761" w:themeColor="accent1" w:themeShade="BF"/>
    </w:rPr>
  </w:style>
  <w:style w:type="paragraph" w:styleId="Cytatintensywny">
    <w:name w:val="Intense Quote"/>
    <w:basedOn w:val="Normalny"/>
    <w:next w:val="Normalny"/>
    <w:link w:val="CytatintensywnyZnak"/>
    <w:uiPriority w:val="30"/>
    <w:qFormat/>
    <w:rsid w:val="00C02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02BEB"/>
    <w:rPr>
      <w:i/>
      <w:iCs/>
      <w:color w:val="0F4761" w:themeColor="accent1" w:themeShade="BF"/>
    </w:rPr>
  </w:style>
  <w:style w:type="character" w:styleId="Odwoanieintensywne">
    <w:name w:val="Intense Reference"/>
    <w:basedOn w:val="Domylnaczcionkaakapitu"/>
    <w:uiPriority w:val="32"/>
    <w:qFormat/>
    <w:rsid w:val="00C02BEB"/>
    <w:rPr>
      <w:b/>
      <w:bCs/>
      <w:smallCaps/>
      <w:color w:val="0F4761" w:themeColor="accent1" w:themeShade="BF"/>
      <w:spacing w:val="5"/>
    </w:rPr>
  </w:style>
  <w:style w:type="character" w:customStyle="1" w:styleId="normaltextrun">
    <w:name w:val="normaltextrun"/>
    <w:basedOn w:val="Domylnaczcionkaakapitu"/>
    <w:rsid w:val="0041532A"/>
  </w:style>
  <w:style w:type="paragraph" w:customStyle="1" w:styleId="paragraph">
    <w:name w:val="paragraph"/>
    <w:basedOn w:val="Normalny"/>
    <w:rsid w:val="00B2191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eop">
    <w:name w:val="eop"/>
    <w:basedOn w:val="Domylnaczcionkaakapitu"/>
    <w:rsid w:val="00B2191F"/>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7B0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423">
      <w:bodyDiv w:val="1"/>
      <w:marLeft w:val="0"/>
      <w:marRight w:val="0"/>
      <w:marTop w:val="0"/>
      <w:marBottom w:val="0"/>
      <w:divBdr>
        <w:top w:val="none" w:sz="0" w:space="0" w:color="auto"/>
        <w:left w:val="none" w:sz="0" w:space="0" w:color="auto"/>
        <w:bottom w:val="none" w:sz="0" w:space="0" w:color="auto"/>
        <w:right w:val="none" w:sz="0" w:space="0" w:color="auto"/>
      </w:divBdr>
    </w:div>
    <w:div w:id="391345616">
      <w:bodyDiv w:val="1"/>
      <w:marLeft w:val="0"/>
      <w:marRight w:val="0"/>
      <w:marTop w:val="0"/>
      <w:marBottom w:val="0"/>
      <w:divBdr>
        <w:top w:val="none" w:sz="0" w:space="0" w:color="auto"/>
        <w:left w:val="none" w:sz="0" w:space="0" w:color="auto"/>
        <w:bottom w:val="none" w:sz="0" w:space="0" w:color="auto"/>
        <w:right w:val="none" w:sz="0" w:space="0" w:color="auto"/>
      </w:divBdr>
    </w:div>
    <w:div w:id="509369410">
      <w:bodyDiv w:val="1"/>
      <w:marLeft w:val="0"/>
      <w:marRight w:val="0"/>
      <w:marTop w:val="0"/>
      <w:marBottom w:val="0"/>
      <w:divBdr>
        <w:top w:val="none" w:sz="0" w:space="0" w:color="auto"/>
        <w:left w:val="none" w:sz="0" w:space="0" w:color="auto"/>
        <w:bottom w:val="none" w:sz="0" w:space="0" w:color="auto"/>
        <w:right w:val="none" w:sz="0" w:space="0" w:color="auto"/>
      </w:divBdr>
      <w:divsChild>
        <w:div w:id="1230845351">
          <w:marLeft w:val="0"/>
          <w:marRight w:val="0"/>
          <w:marTop w:val="0"/>
          <w:marBottom w:val="0"/>
          <w:divBdr>
            <w:top w:val="none" w:sz="0" w:space="0" w:color="auto"/>
            <w:left w:val="none" w:sz="0" w:space="0" w:color="auto"/>
            <w:bottom w:val="none" w:sz="0" w:space="0" w:color="auto"/>
            <w:right w:val="none" w:sz="0" w:space="0" w:color="auto"/>
          </w:divBdr>
          <w:divsChild>
            <w:div w:id="13381407">
              <w:marLeft w:val="0"/>
              <w:marRight w:val="0"/>
              <w:marTop w:val="0"/>
              <w:marBottom w:val="0"/>
              <w:divBdr>
                <w:top w:val="none" w:sz="0" w:space="0" w:color="auto"/>
                <w:left w:val="none" w:sz="0" w:space="0" w:color="auto"/>
                <w:bottom w:val="none" w:sz="0" w:space="0" w:color="auto"/>
                <w:right w:val="none" w:sz="0" w:space="0" w:color="auto"/>
              </w:divBdr>
            </w:div>
            <w:div w:id="30882093">
              <w:marLeft w:val="0"/>
              <w:marRight w:val="0"/>
              <w:marTop w:val="0"/>
              <w:marBottom w:val="0"/>
              <w:divBdr>
                <w:top w:val="none" w:sz="0" w:space="0" w:color="auto"/>
                <w:left w:val="none" w:sz="0" w:space="0" w:color="auto"/>
                <w:bottom w:val="none" w:sz="0" w:space="0" w:color="auto"/>
                <w:right w:val="none" w:sz="0" w:space="0" w:color="auto"/>
              </w:divBdr>
            </w:div>
            <w:div w:id="87629230">
              <w:marLeft w:val="0"/>
              <w:marRight w:val="0"/>
              <w:marTop w:val="0"/>
              <w:marBottom w:val="0"/>
              <w:divBdr>
                <w:top w:val="none" w:sz="0" w:space="0" w:color="auto"/>
                <w:left w:val="none" w:sz="0" w:space="0" w:color="auto"/>
                <w:bottom w:val="none" w:sz="0" w:space="0" w:color="auto"/>
                <w:right w:val="none" w:sz="0" w:space="0" w:color="auto"/>
              </w:divBdr>
            </w:div>
            <w:div w:id="111289387">
              <w:marLeft w:val="0"/>
              <w:marRight w:val="0"/>
              <w:marTop w:val="0"/>
              <w:marBottom w:val="0"/>
              <w:divBdr>
                <w:top w:val="none" w:sz="0" w:space="0" w:color="auto"/>
                <w:left w:val="none" w:sz="0" w:space="0" w:color="auto"/>
                <w:bottom w:val="none" w:sz="0" w:space="0" w:color="auto"/>
                <w:right w:val="none" w:sz="0" w:space="0" w:color="auto"/>
              </w:divBdr>
            </w:div>
            <w:div w:id="145360353">
              <w:marLeft w:val="0"/>
              <w:marRight w:val="0"/>
              <w:marTop w:val="0"/>
              <w:marBottom w:val="0"/>
              <w:divBdr>
                <w:top w:val="none" w:sz="0" w:space="0" w:color="auto"/>
                <w:left w:val="none" w:sz="0" w:space="0" w:color="auto"/>
                <w:bottom w:val="none" w:sz="0" w:space="0" w:color="auto"/>
                <w:right w:val="none" w:sz="0" w:space="0" w:color="auto"/>
              </w:divBdr>
            </w:div>
            <w:div w:id="172307884">
              <w:marLeft w:val="0"/>
              <w:marRight w:val="0"/>
              <w:marTop w:val="0"/>
              <w:marBottom w:val="0"/>
              <w:divBdr>
                <w:top w:val="none" w:sz="0" w:space="0" w:color="auto"/>
                <w:left w:val="none" w:sz="0" w:space="0" w:color="auto"/>
                <w:bottom w:val="none" w:sz="0" w:space="0" w:color="auto"/>
                <w:right w:val="none" w:sz="0" w:space="0" w:color="auto"/>
              </w:divBdr>
            </w:div>
            <w:div w:id="299845265">
              <w:marLeft w:val="0"/>
              <w:marRight w:val="0"/>
              <w:marTop w:val="0"/>
              <w:marBottom w:val="0"/>
              <w:divBdr>
                <w:top w:val="none" w:sz="0" w:space="0" w:color="auto"/>
                <w:left w:val="none" w:sz="0" w:space="0" w:color="auto"/>
                <w:bottom w:val="none" w:sz="0" w:space="0" w:color="auto"/>
                <w:right w:val="none" w:sz="0" w:space="0" w:color="auto"/>
              </w:divBdr>
            </w:div>
            <w:div w:id="322709059">
              <w:marLeft w:val="0"/>
              <w:marRight w:val="0"/>
              <w:marTop w:val="0"/>
              <w:marBottom w:val="0"/>
              <w:divBdr>
                <w:top w:val="none" w:sz="0" w:space="0" w:color="auto"/>
                <w:left w:val="none" w:sz="0" w:space="0" w:color="auto"/>
                <w:bottom w:val="none" w:sz="0" w:space="0" w:color="auto"/>
                <w:right w:val="none" w:sz="0" w:space="0" w:color="auto"/>
              </w:divBdr>
            </w:div>
            <w:div w:id="405341577">
              <w:marLeft w:val="0"/>
              <w:marRight w:val="0"/>
              <w:marTop w:val="0"/>
              <w:marBottom w:val="0"/>
              <w:divBdr>
                <w:top w:val="none" w:sz="0" w:space="0" w:color="auto"/>
                <w:left w:val="none" w:sz="0" w:space="0" w:color="auto"/>
                <w:bottom w:val="none" w:sz="0" w:space="0" w:color="auto"/>
                <w:right w:val="none" w:sz="0" w:space="0" w:color="auto"/>
              </w:divBdr>
            </w:div>
            <w:div w:id="444690704">
              <w:marLeft w:val="0"/>
              <w:marRight w:val="0"/>
              <w:marTop w:val="0"/>
              <w:marBottom w:val="0"/>
              <w:divBdr>
                <w:top w:val="none" w:sz="0" w:space="0" w:color="auto"/>
                <w:left w:val="none" w:sz="0" w:space="0" w:color="auto"/>
                <w:bottom w:val="none" w:sz="0" w:space="0" w:color="auto"/>
                <w:right w:val="none" w:sz="0" w:space="0" w:color="auto"/>
              </w:divBdr>
            </w:div>
            <w:div w:id="523639197">
              <w:marLeft w:val="0"/>
              <w:marRight w:val="0"/>
              <w:marTop w:val="0"/>
              <w:marBottom w:val="0"/>
              <w:divBdr>
                <w:top w:val="none" w:sz="0" w:space="0" w:color="auto"/>
                <w:left w:val="none" w:sz="0" w:space="0" w:color="auto"/>
                <w:bottom w:val="none" w:sz="0" w:space="0" w:color="auto"/>
                <w:right w:val="none" w:sz="0" w:space="0" w:color="auto"/>
              </w:divBdr>
            </w:div>
            <w:div w:id="682897567">
              <w:marLeft w:val="0"/>
              <w:marRight w:val="0"/>
              <w:marTop w:val="0"/>
              <w:marBottom w:val="0"/>
              <w:divBdr>
                <w:top w:val="none" w:sz="0" w:space="0" w:color="auto"/>
                <w:left w:val="none" w:sz="0" w:space="0" w:color="auto"/>
                <w:bottom w:val="none" w:sz="0" w:space="0" w:color="auto"/>
                <w:right w:val="none" w:sz="0" w:space="0" w:color="auto"/>
              </w:divBdr>
            </w:div>
            <w:div w:id="834300781">
              <w:marLeft w:val="0"/>
              <w:marRight w:val="0"/>
              <w:marTop w:val="0"/>
              <w:marBottom w:val="0"/>
              <w:divBdr>
                <w:top w:val="none" w:sz="0" w:space="0" w:color="auto"/>
                <w:left w:val="none" w:sz="0" w:space="0" w:color="auto"/>
                <w:bottom w:val="none" w:sz="0" w:space="0" w:color="auto"/>
                <w:right w:val="none" w:sz="0" w:space="0" w:color="auto"/>
              </w:divBdr>
            </w:div>
            <w:div w:id="1011763463">
              <w:marLeft w:val="0"/>
              <w:marRight w:val="0"/>
              <w:marTop w:val="0"/>
              <w:marBottom w:val="0"/>
              <w:divBdr>
                <w:top w:val="none" w:sz="0" w:space="0" w:color="auto"/>
                <w:left w:val="none" w:sz="0" w:space="0" w:color="auto"/>
                <w:bottom w:val="none" w:sz="0" w:space="0" w:color="auto"/>
                <w:right w:val="none" w:sz="0" w:space="0" w:color="auto"/>
              </w:divBdr>
            </w:div>
            <w:div w:id="1397431765">
              <w:marLeft w:val="0"/>
              <w:marRight w:val="0"/>
              <w:marTop w:val="0"/>
              <w:marBottom w:val="0"/>
              <w:divBdr>
                <w:top w:val="none" w:sz="0" w:space="0" w:color="auto"/>
                <w:left w:val="none" w:sz="0" w:space="0" w:color="auto"/>
                <w:bottom w:val="none" w:sz="0" w:space="0" w:color="auto"/>
                <w:right w:val="none" w:sz="0" w:space="0" w:color="auto"/>
              </w:divBdr>
            </w:div>
            <w:div w:id="1667705668">
              <w:marLeft w:val="0"/>
              <w:marRight w:val="0"/>
              <w:marTop w:val="0"/>
              <w:marBottom w:val="0"/>
              <w:divBdr>
                <w:top w:val="none" w:sz="0" w:space="0" w:color="auto"/>
                <w:left w:val="none" w:sz="0" w:space="0" w:color="auto"/>
                <w:bottom w:val="none" w:sz="0" w:space="0" w:color="auto"/>
                <w:right w:val="none" w:sz="0" w:space="0" w:color="auto"/>
              </w:divBdr>
            </w:div>
            <w:div w:id="1853841283">
              <w:marLeft w:val="0"/>
              <w:marRight w:val="0"/>
              <w:marTop w:val="0"/>
              <w:marBottom w:val="0"/>
              <w:divBdr>
                <w:top w:val="none" w:sz="0" w:space="0" w:color="auto"/>
                <w:left w:val="none" w:sz="0" w:space="0" w:color="auto"/>
                <w:bottom w:val="none" w:sz="0" w:space="0" w:color="auto"/>
                <w:right w:val="none" w:sz="0" w:space="0" w:color="auto"/>
              </w:divBdr>
            </w:div>
            <w:div w:id="1878466925">
              <w:marLeft w:val="0"/>
              <w:marRight w:val="0"/>
              <w:marTop w:val="0"/>
              <w:marBottom w:val="0"/>
              <w:divBdr>
                <w:top w:val="none" w:sz="0" w:space="0" w:color="auto"/>
                <w:left w:val="none" w:sz="0" w:space="0" w:color="auto"/>
                <w:bottom w:val="none" w:sz="0" w:space="0" w:color="auto"/>
                <w:right w:val="none" w:sz="0" w:space="0" w:color="auto"/>
              </w:divBdr>
            </w:div>
            <w:div w:id="1879782403">
              <w:marLeft w:val="0"/>
              <w:marRight w:val="0"/>
              <w:marTop w:val="0"/>
              <w:marBottom w:val="0"/>
              <w:divBdr>
                <w:top w:val="none" w:sz="0" w:space="0" w:color="auto"/>
                <w:left w:val="none" w:sz="0" w:space="0" w:color="auto"/>
                <w:bottom w:val="none" w:sz="0" w:space="0" w:color="auto"/>
                <w:right w:val="none" w:sz="0" w:space="0" w:color="auto"/>
              </w:divBdr>
            </w:div>
            <w:div w:id="2085953110">
              <w:marLeft w:val="0"/>
              <w:marRight w:val="0"/>
              <w:marTop w:val="0"/>
              <w:marBottom w:val="0"/>
              <w:divBdr>
                <w:top w:val="none" w:sz="0" w:space="0" w:color="auto"/>
                <w:left w:val="none" w:sz="0" w:space="0" w:color="auto"/>
                <w:bottom w:val="none" w:sz="0" w:space="0" w:color="auto"/>
                <w:right w:val="none" w:sz="0" w:space="0" w:color="auto"/>
              </w:divBdr>
            </w:div>
          </w:divsChild>
        </w:div>
        <w:div w:id="1436554933">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
            <w:div w:id="162362086">
              <w:marLeft w:val="0"/>
              <w:marRight w:val="0"/>
              <w:marTop w:val="0"/>
              <w:marBottom w:val="0"/>
              <w:divBdr>
                <w:top w:val="none" w:sz="0" w:space="0" w:color="auto"/>
                <w:left w:val="none" w:sz="0" w:space="0" w:color="auto"/>
                <w:bottom w:val="none" w:sz="0" w:space="0" w:color="auto"/>
                <w:right w:val="none" w:sz="0" w:space="0" w:color="auto"/>
              </w:divBdr>
            </w:div>
            <w:div w:id="403838043">
              <w:marLeft w:val="0"/>
              <w:marRight w:val="0"/>
              <w:marTop w:val="0"/>
              <w:marBottom w:val="0"/>
              <w:divBdr>
                <w:top w:val="none" w:sz="0" w:space="0" w:color="auto"/>
                <w:left w:val="none" w:sz="0" w:space="0" w:color="auto"/>
                <w:bottom w:val="none" w:sz="0" w:space="0" w:color="auto"/>
                <w:right w:val="none" w:sz="0" w:space="0" w:color="auto"/>
              </w:divBdr>
            </w:div>
            <w:div w:id="621545677">
              <w:marLeft w:val="0"/>
              <w:marRight w:val="0"/>
              <w:marTop w:val="0"/>
              <w:marBottom w:val="0"/>
              <w:divBdr>
                <w:top w:val="none" w:sz="0" w:space="0" w:color="auto"/>
                <w:left w:val="none" w:sz="0" w:space="0" w:color="auto"/>
                <w:bottom w:val="none" w:sz="0" w:space="0" w:color="auto"/>
                <w:right w:val="none" w:sz="0" w:space="0" w:color="auto"/>
              </w:divBdr>
            </w:div>
            <w:div w:id="627707467">
              <w:marLeft w:val="0"/>
              <w:marRight w:val="0"/>
              <w:marTop w:val="0"/>
              <w:marBottom w:val="0"/>
              <w:divBdr>
                <w:top w:val="none" w:sz="0" w:space="0" w:color="auto"/>
                <w:left w:val="none" w:sz="0" w:space="0" w:color="auto"/>
                <w:bottom w:val="none" w:sz="0" w:space="0" w:color="auto"/>
                <w:right w:val="none" w:sz="0" w:space="0" w:color="auto"/>
              </w:divBdr>
            </w:div>
            <w:div w:id="821237070">
              <w:marLeft w:val="0"/>
              <w:marRight w:val="0"/>
              <w:marTop w:val="0"/>
              <w:marBottom w:val="0"/>
              <w:divBdr>
                <w:top w:val="none" w:sz="0" w:space="0" w:color="auto"/>
                <w:left w:val="none" w:sz="0" w:space="0" w:color="auto"/>
                <w:bottom w:val="none" w:sz="0" w:space="0" w:color="auto"/>
                <w:right w:val="none" w:sz="0" w:space="0" w:color="auto"/>
              </w:divBdr>
            </w:div>
            <w:div w:id="861554151">
              <w:marLeft w:val="0"/>
              <w:marRight w:val="0"/>
              <w:marTop w:val="0"/>
              <w:marBottom w:val="0"/>
              <w:divBdr>
                <w:top w:val="none" w:sz="0" w:space="0" w:color="auto"/>
                <w:left w:val="none" w:sz="0" w:space="0" w:color="auto"/>
                <w:bottom w:val="none" w:sz="0" w:space="0" w:color="auto"/>
                <w:right w:val="none" w:sz="0" w:space="0" w:color="auto"/>
              </w:divBdr>
            </w:div>
            <w:div w:id="880479058">
              <w:marLeft w:val="0"/>
              <w:marRight w:val="0"/>
              <w:marTop w:val="0"/>
              <w:marBottom w:val="0"/>
              <w:divBdr>
                <w:top w:val="none" w:sz="0" w:space="0" w:color="auto"/>
                <w:left w:val="none" w:sz="0" w:space="0" w:color="auto"/>
                <w:bottom w:val="none" w:sz="0" w:space="0" w:color="auto"/>
                <w:right w:val="none" w:sz="0" w:space="0" w:color="auto"/>
              </w:divBdr>
            </w:div>
            <w:div w:id="986979305">
              <w:marLeft w:val="0"/>
              <w:marRight w:val="0"/>
              <w:marTop w:val="0"/>
              <w:marBottom w:val="0"/>
              <w:divBdr>
                <w:top w:val="none" w:sz="0" w:space="0" w:color="auto"/>
                <w:left w:val="none" w:sz="0" w:space="0" w:color="auto"/>
                <w:bottom w:val="none" w:sz="0" w:space="0" w:color="auto"/>
                <w:right w:val="none" w:sz="0" w:space="0" w:color="auto"/>
              </w:divBdr>
            </w:div>
            <w:div w:id="1181699585">
              <w:marLeft w:val="0"/>
              <w:marRight w:val="0"/>
              <w:marTop w:val="0"/>
              <w:marBottom w:val="0"/>
              <w:divBdr>
                <w:top w:val="none" w:sz="0" w:space="0" w:color="auto"/>
                <w:left w:val="none" w:sz="0" w:space="0" w:color="auto"/>
                <w:bottom w:val="none" w:sz="0" w:space="0" w:color="auto"/>
                <w:right w:val="none" w:sz="0" w:space="0" w:color="auto"/>
              </w:divBdr>
            </w:div>
            <w:div w:id="1217543442">
              <w:marLeft w:val="0"/>
              <w:marRight w:val="0"/>
              <w:marTop w:val="0"/>
              <w:marBottom w:val="0"/>
              <w:divBdr>
                <w:top w:val="none" w:sz="0" w:space="0" w:color="auto"/>
                <w:left w:val="none" w:sz="0" w:space="0" w:color="auto"/>
                <w:bottom w:val="none" w:sz="0" w:space="0" w:color="auto"/>
                <w:right w:val="none" w:sz="0" w:space="0" w:color="auto"/>
              </w:divBdr>
            </w:div>
            <w:div w:id="1358969571">
              <w:marLeft w:val="0"/>
              <w:marRight w:val="0"/>
              <w:marTop w:val="0"/>
              <w:marBottom w:val="0"/>
              <w:divBdr>
                <w:top w:val="none" w:sz="0" w:space="0" w:color="auto"/>
                <w:left w:val="none" w:sz="0" w:space="0" w:color="auto"/>
                <w:bottom w:val="none" w:sz="0" w:space="0" w:color="auto"/>
                <w:right w:val="none" w:sz="0" w:space="0" w:color="auto"/>
              </w:divBdr>
            </w:div>
            <w:div w:id="1453398239">
              <w:marLeft w:val="0"/>
              <w:marRight w:val="0"/>
              <w:marTop w:val="0"/>
              <w:marBottom w:val="0"/>
              <w:divBdr>
                <w:top w:val="none" w:sz="0" w:space="0" w:color="auto"/>
                <w:left w:val="none" w:sz="0" w:space="0" w:color="auto"/>
                <w:bottom w:val="none" w:sz="0" w:space="0" w:color="auto"/>
                <w:right w:val="none" w:sz="0" w:space="0" w:color="auto"/>
              </w:divBdr>
            </w:div>
            <w:div w:id="1480027016">
              <w:marLeft w:val="0"/>
              <w:marRight w:val="0"/>
              <w:marTop w:val="0"/>
              <w:marBottom w:val="0"/>
              <w:divBdr>
                <w:top w:val="none" w:sz="0" w:space="0" w:color="auto"/>
                <w:left w:val="none" w:sz="0" w:space="0" w:color="auto"/>
                <w:bottom w:val="none" w:sz="0" w:space="0" w:color="auto"/>
                <w:right w:val="none" w:sz="0" w:space="0" w:color="auto"/>
              </w:divBdr>
            </w:div>
            <w:div w:id="1514682252">
              <w:marLeft w:val="0"/>
              <w:marRight w:val="0"/>
              <w:marTop w:val="0"/>
              <w:marBottom w:val="0"/>
              <w:divBdr>
                <w:top w:val="none" w:sz="0" w:space="0" w:color="auto"/>
                <w:left w:val="none" w:sz="0" w:space="0" w:color="auto"/>
                <w:bottom w:val="none" w:sz="0" w:space="0" w:color="auto"/>
                <w:right w:val="none" w:sz="0" w:space="0" w:color="auto"/>
              </w:divBdr>
            </w:div>
            <w:div w:id="2047637487">
              <w:marLeft w:val="0"/>
              <w:marRight w:val="0"/>
              <w:marTop w:val="0"/>
              <w:marBottom w:val="0"/>
              <w:divBdr>
                <w:top w:val="none" w:sz="0" w:space="0" w:color="auto"/>
                <w:left w:val="none" w:sz="0" w:space="0" w:color="auto"/>
                <w:bottom w:val="none" w:sz="0" w:space="0" w:color="auto"/>
                <w:right w:val="none" w:sz="0" w:space="0" w:color="auto"/>
              </w:divBdr>
            </w:div>
            <w:div w:id="2116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C4D60ED947AA42AB31833832959A1B" ma:contentTypeVersion="18" ma:contentTypeDescription="Utwórz nowy dokument." ma:contentTypeScope="" ma:versionID="cc7ee4351a7b1e368c10f89c1425089d">
  <xsd:schema xmlns:xsd="http://www.w3.org/2001/XMLSchema" xmlns:xs="http://www.w3.org/2001/XMLSchema" xmlns:p="http://schemas.microsoft.com/office/2006/metadata/properties" xmlns:ns2="5ecbfcd1-a2c8-40e9-bb32-fe5c12e6a746" xmlns:ns3="e2c59f26-b0ec-417c-85d5-a6c324591ca1" targetNamespace="http://schemas.microsoft.com/office/2006/metadata/properties" ma:root="true" ma:fieldsID="010e6dcf576160e3186cb279820f7bfd" ns2:_="" ns3:_="">
    <xsd:import namespace="5ecbfcd1-a2c8-40e9-bb32-fe5c12e6a746"/>
    <xsd:import namespace="e2c59f26-b0ec-417c-85d5-a6c324591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bfcd1-a2c8-40e9-bb32-fe5c12e6a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afb47fd-6321-4196-804e-bce505a7e7d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59f26-b0ec-417c-85d5-a6c324591ca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e1d7ae12-1782-4119-ae62-ebee6ff813dd}" ma:internalName="TaxCatchAll" ma:showField="CatchAllData" ma:web="e2c59f26-b0ec-417c-85d5-a6c324591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500C6-6A3B-4BB6-9595-5BF21E9A31FD}"/>
</file>

<file path=customXml/itemProps2.xml><?xml version="1.0" encoding="utf-8"?>
<ds:datastoreItem xmlns:ds="http://schemas.openxmlformats.org/officeDocument/2006/customXml" ds:itemID="{BCF0FABA-5B8F-4F74-9EB0-65E504CB1C32}"/>
</file>

<file path=docProps/app.xml><?xml version="1.0" encoding="utf-8"?>
<Properties xmlns="http://schemas.openxmlformats.org/officeDocument/2006/extended-properties" xmlns:vt="http://schemas.openxmlformats.org/officeDocument/2006/docPropsVTypes">
  <Template>Normal</Template>
  <TotalTime>1</TotalTime>
  <Pages>13</Pages>
  <Words>3652</Words>
  <Characters>26299</Characters>
  <Application>Microsoft Office Word</Application>
  <DocSecurity>0</DocSecurity>
  <Lines>219</Lines>
  <Paragraphs>59</Paragraphs>
  <ScaleCrop>false</ScaleCrop>
  <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Stefańczyk</dc:creator>
  <cp:keywords/>
  <dc:description/>
  <cp:lastModifiedBy>Aleksander Śniegocki</cp:lastModifiedBy>
  <cp:revision>3</cp:revision>
  <dcterms:created xsi:type="dcterms:W3CDTF">2024-05-10T20:53:00Z</dcterms:created>
  <dcterms:modified xsi:type="dcterms:W3CDTF">2024-05-10T20:54:00Z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a94a8b5b-fb43-4c6c-bba8-58fa9be94c70</vt:lpwstr>
  </property>
</Properties>
</file>